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54" w:rsidRPr="00824B54" w:rsidRDefault="00824B54" w:rsidP="00824B54">
      <w:pPr>
        <w:widowControl/>
        <w:spacing w:line="750" w:lineRule="atLeast"/>
        <w:jc w:val="center"/>
        <w:outlineLvl w:val="0"/>
        <w:rPr>
          <w:rFonts w:ascii="微软雅黑" w:eastAsia="微软雅黑" w:hAnsi="微软雅黑" w:cs="宋体"/>
          <w:b/>
          <w:bCs/>
          <w:color w:val="282929"/>
          <w:kern w:val="36"/>
          <w:sz w:val="38"/>
          <w:szCs w:val="38"/>
        </w:rPr>
      </w:pPr>
      <w:r w:rsidRPr="00824B54">
        <w:rPr>
          <w:rFonts w:ascii="微软雅黑" w:eastAsia="微软雅黑" w:hAnsi="微软雅黑" w:cs="宋体" w:hint="eastAsia"/>
          <w:b/>
          <w:bCs/>
          <w:color w:val="282929"/>
          <w:kern w:val="36"/>
          <w:sz w:val="38"/>
          <w:szCs w:val="38"/>
        </w:rPr>
        <w:t>关于印发《成都市残疾人就业保障金征收使用管理实施细则》的通知</w:t>
      </w:r>
    </w:p>
    <w:p w:rsidR="00824B54" w:rsidRPr="00824B54" w:rsidRDefault="00824B54" w:rsidP="00824B54">
      <w:pPr>
        <w:widowControl/>
        <w:jc w:val="left"/>
        <w:rPr>
          <w:rFonts w:ascii="微软雅黑" w:eastAsia="微软雅黑" w:hAnsi="微软雅黑" w:cs="宋体"/>
          <w:vanish/>
          <w:color w:val="000000"/>
          <w:kern w:val="0"/>
          <w:sz w:val="18"/>
          <w:szCs w:val="18"/>
        </w:rPr>
      </w:pPr>
    </w:p>
    <w:tbl>
      <w:tblPr>
        <w:tblW w:w="5000" w:type="pct"/>
        <w:tblCellMar>
          <w:left w:w="0" w:type="dxa"/>
          <w:right w:w="0" w:type="dxa"/>
        </w:tblCellMar>
        <w:tblLook w:val="04A0" w:firstRow="1" w:lastRow="0" w:firstColumn="1" w:lastColumn="0" w:noHBand="0" w:noVBand="1"/>
      </w:tblPr>
      <w:tblGrid>
        <w:gridCol w:w="5488"/>
        <w:gridCol w:w="2818"/>
      </w:tblGrid>
      <w:tr w:rsidR="00824B54" w:rsidRPr="00824B54" w:rsidTr="00824B54">
        <w:tc>
          <w:tcPr>
            <w:tcW w:w="9000" w:type="dxa"/>
            <w:tcBorders>
              <w:top w:val="nil"/>
              <w:left w:val="nil"/>
              <w:bottom w:val="nil"/>
              <w:right w:val="nil"/>
            </w:tcBorders>
            <w:vAlign w:val="center"/>
            <w:hideMark/>
          </w:tcPr>
          <w:p w:rsidR="00824B54" w:rsidRPr="00824B54" w:rsidRDefault="00824B54" w:rsidP="00824B54">
            <w:pPr>
              <w:widowControl/>
              <w:jc w:val="left"/>
              <w:rPr>
                <w:rFonts w:ascii="微软雅黑" w:eastAsia="微软雅黑" w:hAnsi="微软雅黑" w:cs="宋体"/>
                <w:color w:val="000000"/>
                <w:kern w:val="0"/>
                <w:sz w:val="18"/>
                <w:szCs w:val="18"/>
              </w:rPr>
            </w:pPr>
          </w:p>
        </w:tc>
        <w:tc>
          <w:tcPr>
            <w:tcW w:w="4620" w:type="dxa"/>
            <w:tcBorders>
              <w:top w:val="nil"/>
              <w:left w:val="nil"/>
              <w:bottom w:val="nil"/>
              <w:right w:val="nil"/>
            </w:tcBorders>
            <w:vAlign w:val="center"/>
            <w:hideMark/>
          </w:tcPr>
          <w:p w:rsidR="00824B54" w:rsidRPr="00824B54" w:rsidRDefault="00824B54" w:rsidP="00824B54">
            <w:pPr>
              <w:widowControl/>
              <w:jc w:val="left"/>
              <w:rPr>
                <w:rFonts w:ascii="Times New Roman" w:eastAsia="Times New Roman" w:hAnsi="Times New Roman" w:cs="Times New Roman"/>
                <w:kern w:val="0"/>
                <w:sz w:val="20"/>
                <w:szCs w:val="20"/>
              </w:rPr>
            </w:pPr>
          </w:p>
        </w:tc>
      </w:tr>
    </w:tbl>
    <w:p w:rsidR="00824B54" w:rsidRPr="00824B54" w:rsidRDefault="00824B54" w:rsidP="00824B54">
      <w:pPr>
        <w:widowControl/>
        <w:jc w:val="left"/>
        <w:rPr>
          <w:rFonts w:ascii="微软雅黑" w:eastAsia="微软雅黑" w:hAnsi="微软雅黑" w:cs="宋体"/>
          <w:vanish/>
          <w:color w:val="000000"/>
          <w:kern w:val="0"/>
          <w:sz w:val="18"/>
          <w:szCs w:val="18"/>
        </w:rPr>
      </w:pPr>
    </w:p>
    <w:p w:rsidR="00824B54" w:rsidRDefault="00824B54" w:rsidP="00824B54">
      <w:pPr>
        <w:widowControl/>
        <w:spacing w:line="441" w:lineRule="atLeast"/>
        <w:jc w:val="left"/>
        <w:rPr>
          <w:rFonts w:ascii="微软雅黑" w:eastAsia="微软雅黑" w:hAnsi="微软雅黑" w:cs="宋体"/>
          <w:color w:val="343434"/>
          <w:kern w:val="0"/>
          <w:szCs w:val="21"/>
        </w:rPr>
      </w:pPr>
      <w:r w:rsidRPr="00824B54">
        <w:rPr>
          <w:rFonts w:ascii="微软雅黑" w:eastAsia="微软雅黑" w:hAnsi="微软雅黑" w:cs="宋体" w:hint="eastAsia"/>
          <w:b/>
          <w:bCs/>
          <w:color w:val="343434"/>
          <w:kern w:val="0"/>
          <w:szCs w:val="21"/>
        </w:rPr>
        <w:t>文　　号：</w:t>
      </w:r>
      <w:proofErr w:type="gramStart"/>
      <w:r w:rsidRPr="00824B54">
        <w:rPr>
          <w:rFonts w:ascii="微软雅黑" w:eastAsia="微软雅黑" w:hAnsi="微软雅黑" w:cs="宋体" w:hint="eastAsia"/>
          <w:color w:val="343434"/>
          <w:kern w:val="0"/>
          <w:szCs w:val="21"/>
        </w:rPr>
        <w:t>成财非</w:t>
      </w:r>
      <w:proofErr w:type="gramEnd"/>
      <w:r w:rsidRPr="00824B54">
        <w:rPr>
          <w:rFonts w:ascii="微软雅黑" w:eastAsia="微软雅黑" w:hAnsi="微软雅黑" w:cs="宋体" w:hint="eastAsia"/>
          <w:color w:val="343434"/>
          <w:kern w:val="0"/>
          <w:szCs w:val="21"/>
        </w:rPr>
        <w:t>[2016]7号</w:t>
      </w:r>
    </w:p>
    <w:p w:rsidR="00824B54" w:rsidRPr="00824B54" w:rsidRDefault="00824B54" w:rsidP="00824B54">
      <w:pPr>
        <w:widowControl/>
        <w:spacing w:line="441" w:lineRule="atLeast"/>
        <w:jc w:val="left"/>
        <w:rPr>
          <w:rFonts w:ascii="微软雅黑" w:eastAsia="微软雅黑" w:hAnsi="微软雅黑" w:cs="宋体"/>
          <w:color w:val="343434"/>
          <w:kern w:val="0"/>
          <w:szCs w:val="21"/>
        </w:rPr>
      </w:pPr>
      <w:r w:rsidRPr="00824B54">
        <w:rPr>
          <w:rFonts w:ascii="微软雅黑" w:eastAsia="微软雅黑" w:hAnsi="微软雅黑" w:cs="宋体" w:hint="eastAsia"/>
          <w:b/>
          <w:bCs/>
          <w:color w:val="343434"/>
          <w:kern w:val="0"/>
          <w:szCs w:val="21"/>
        </w:rPr>
        <w:t>签发单位：</w:t>
      </w:r>
      <w:r w:rsidRPr="00824B54">
        <w:rPr>
          <w:rFonts w:ascii="微软雅黑" w:eastAsia="微软雅黑" w:hAnsi="微软雅黑" w:cs="宋体" w:hint="eastAsia"/>
          <w:color w:val="343434"/>
          <w:kern w:val="0"/>
          <w:szCs w:val="21"/>
        </w:rPr>
        <w:t>成都市财政局 成都市地税局 成都市残联</w:t>
      </w:r>
    </w:p>
    <w:p w:rsidR="00824B54" w:rsidRDefault="00824B54" w:rsidP="00824B54">
      <w:pPr>
        <w:widowControl/>
        <w:spacing w:line="441" w:lineRule="atLeast"/>
        <w:jc w:val="left"/>
        <w:rPr>
          <w:rFonts w:ascii="微软雅黑" w:eastAsia="微软雅黑" w:hAnsi="微软雅黑" w:cs="宋体"/>
          <w:color w:val="343434"/>
          <w:kern w:val="0"/>
          <w:szCs w:val="21"/>
        </w:rPr>
      </w:pPr>
      <w:r w:rsidRPr="00824B54">
        <w:rPr>
          <w:rFonts w:ascii="微软雅黑" w:eastAsia="微软雅黑" w:hAnsi="微软雅黑" w:cs="宋体" w:hint="eastAsia"/>
          <w:b/>
          <w:bCs/>
          <w:color w:val="343434"/>
          <w:kern w:val="0"/>
          <w:szCs w:val="21"/>
        </w:rPr>
        <w:t>签发时间：</w:t>
      </w:r>
      <w:r w:rsidRPr="00824B54">
        <w:rPr>
          <w:rFonts w:ascii="微软雅黑" w:eastAsia="微软雅黑" w:hAnsi="微软雅黑" w:cs="宋体" w:hint="eastAsia"/>
          <w:color w:val="343434"/>
          <w:kern w:val="0"/>
          <w:szCs w:val="21"/>
        </w:rPr>
        <w:t>2016-06-08</w:t>
      </w:r>
    </w:p>
    <w:p w:rsidR="00824B54" w:rsidRPr="00824B54" w:rsidRDefault="00824B54" w:rsidP="00824B54">
      <w:pPr>
        <w:widowControl/>
        <w:spacing w:line="441" w:lineRule="atLeast"/>
        <w:jc w:val="left"/>
        <w:rPr>
          <w:rFonts w:ascii="微软雅黑" w:eastAsia="微软雅黑" w:hAnsi="微软雅黑" w:cs="宋体"/>
          <w:color w:val="343434"/>
          <w:kern w:val="0"/>
          <w:szCs w:val="21"/>
        </w:rPr>
      </w:pPr>
      <w:r w:rsidRPr="00824B54">
        <w:rPr>
          <w:rFonts w:ascii="微软雅黑" w:eastAsia="微软雅黑" w:hAnsi="微软雅黑" w:cs="宋体" w:hint="eastAsia"/>
          <w:b/>
          <w:bCs/>
          <w:color w:val="343434"/>
          <w:kern w:val="0"/>
          <w:szCs w:val="21"/>
        </w:rPr>
        <w:t>生效时间：</w:t>
      </w:r>
      <w:r w:rsidRPr="00824B54">
        <w:rPr>
          <w:rFonts w:ascii="微软雅黑" w:eastAsia="微软雅黑" w:hAnsi="微软雅黑" w:cs="宋体" w:hint="eastAsia"/>
          <w:color w:val="343434"/>
          <w:kern w:val="0"/>
          <w:szCs w:val="21"/>
        </w:rPr>
        <w:t>2016-06-08</w:t>
      </w:r>
    </w:p>
    <w:p w:rsidR="00824B54" w:rsidRPr="00824B54" w:rsidRDefault="00824B54" w:rsidP="00824B54">
      <w:pPr>
        <w:widowControl/>
        <w:spacing w:line="441" w:lineRule="atLeast"/>
        <w:jc w:val="left"/>
        <w:rPr>
          <w:rFonts w:ascii="微软雅黑" w:eastAsia="微软雅黑" w:hAnsi="微软雅黑" w:cs="宋体"/>
          <w:color w:val="343434"/>
          <w:kern w:val="0"/>
          <w:sz w:val="28"/>
          <w:szCs w:val="28"/>
        </w:rPr>
      </w:pPr>
      <w:r w:rsidRPr="00824B54">
        <w:rPr>
          <w:rFonts w:ascii="宋体" w:eastAsia="宋体" w:hAnsi="宋体" w:cs="宋体" w:hint="eastAsia"/>
          <w:color w:val="343434"/>
          <w:kern w:val="0"/>
          <w:sz w:val="28"/>
          <w:szCs w:val="28"/>
        </w:rPr>
        <w:t>市级各部门，各区（市）县财政局、地税局、残疾人联合会：</w:t>
      </w:r>
    </w:p>
    <w:p w:rsidR="00824B54" w:rsidRPr="00824B54" w:rsidRDefault="00824B54" w:rsidP="00824B54">
      <w:pPr>
        <w:widowControl/>
        <w:spacing w:line="441" w:lineRule="atLeast"/>
        <w:jc w:val="left"/>
        <w:rPr>
          <w:rFonts w:ascii="微软雅黑" w:eastAsia="微软雅黑" w:hAnsi="微软雅黑" w:cs="宋体"/>
          <w:color w:val="343434"/>
          <w:kern w:val="0"/>
          <w:sz w:val="28"/>
          <w:szCs w:val="28"/>
        </w:rPr>
      </w:pPr>
      <w:r w:rsidRPr="00824B54">
        <w:rPr>
          <w:rFonts w:ascii="宋体" w:eastAsia="宋体" w:hAnsi="宋体" w:cs="宋体" w:hint="eastAsia"/>
          <w:color w:val="343434"/>
          <w:kern w:val="0"/>
          <w:sz w:val="28"/>
          <w:szCs w:val="28"/>
        </w:rPr>
        <w:t>  为了规范残疾人就业保障金征收使用管理，促进我市残疾人就业，根据《四川省财政厅 四川省地方税务局 四川省残疾人联合会关于印发〈四川省残疾人就业保障金征收使用管理实施办法〉的通知》（</w:t>
      </w:r>
      <w:proofErr w:type="gramStart"/>
      <w:r w:rsidRPr="00824B54">
        <w:rPr>
          <w:rFonts w:ascii="宋体" w:eastAsia="宋体" w:hAnsi="宋体" w:cs="宋体" w:hint="eastAsia"/>
          <w:color w:val="343434"/>
          <w:kern w:val="0"/>
          <w:sz w:val="28"/>
          <w:szCs w:val="28"/>
        </w:rPr>
        <w:t>川财综</w:t>
      </w:r>
      <w:proofErr w:type="gramEnd"/>
      <w:r w:rsidRPr="00824B54">
        <w:rPr>
          <w:rFonts w:ascii="宋体" w:eastAsia="宋体" w:hAnsi="宋体" w:cs="宋体" w:hint="eastAsia"/>
          <w:color w:val="343434"/>
          <w:kern w:val="0"/>
          <w:sz w:val="28"/>
          <w:szCs w:val="28"/>
        </w:rPr>
        <w:t>〔2016〕1号），结合实际，我们制定了《成都市残疾人就业保障金征收使用管理实施细则》，现印发给你们，请遵照执行。</w:t>
      </w:r>
    </w:p>
    <w:p w:rsidR="00824B54" w:rsidRPr="00824B54" w:rsidRDefault="00824B54" w:rsidP="00824B54">
      <w:pPr>
        <w:widowControl/>
        <w:spacing w:line="441" w:lineRule="atLeast"/>
        <w:jc w:val="left"/>
        <w:rPr>
          <w:rFonts w:ascii="微软雅黑" w:eastAsia="微软雅黑" w:hAnsi="微软雅黑" w:cs="宋体"/>
          <w:color w:val="343434"/>
          <w:kern w:val="0"/>
          <w:sz w:val="28"/>
          <w:szCs w:val="28"/>
        </w:rPr>
      </w:pPr>
      <w:r w:rsidRPr="00824B54">
        <w:rPr>
          <w:rFonts w:ascii="宋体" w:eastAsia="宋体" w:hAnsi="宋体" w:cs="宋体" w:hint="eastAsia"/>
          <w:color w:val="343434"/>
          <w:kern w:val="0"/>
          <w:sz w:val="28"/>
          <w:szCs w:val="28"/>
        </w:rPr>
        <w:t>  附件：成都市残疾人就业保障金征收使用管理实施细则</w:t>
      </w:r>
    </w:p>
    <w:p w:rsidR="00824B54" w:rsidRPr="00824B54" w:rsidRDefault="00824B54" w:rsidP="00824B54">
      <w:pPr>
        <w:widowControl/>
        <w:spacing w:line="441" w:lineRule="atLeast"/>
        <w:jc w:val="right"/>
        <w:rPr>
          <w:rFonts w:ascii="微软雅黑" w:eastAsia="微软雅黑" w:hAnsi="微软雅黑" w:cs="宋体"/>
          <w:color w:val="343434"/>
          <w:kern w:val="0"/>
          <w:sz w:val="28"/>
          <w:szCs w:val="28"/>
        </w:rPr>
      </w:pPr>
    </w:p>
    <w:p w:rsidR="00824B54" w:rsidRPr="00824B54" w:rsidRDefault="00824B54" w:rsidP="00824B54">
      <w:pPr>
        <w:widowControl/>
        <w:spacing w:line="441" w:lineRule="atLeast"/>
        <w:jc w:val="right"/>
        <w:rPr>
          <w:rFonts w:ascii="微软雅黑" w:eastAsia="微软雅黑" w:hAnsi="微软雅黑" w:cs="宋体"/>
          <w:color w:val="343434"/>
          <w:kern w:val="0"/>
          <w:sz w:val="28"/>
          <w:szCs w:val="28"/>
        </w:rPr>
      </w:pPr>
    </w:p>
    <w:p w:rsidR="00824B54" w:rsidRPr="00824B54" w:rsidRDefault="00824B54" w:rsidP="00824B54">
      <w:pPr>
        <w:widowControl/>
        <w:spacing w:line="441" w:lineRule="atLeast"/>
        <w:jc w:val="right"/>
        <w:rPr>
          <w:rFonts w:ascii="微软雅黑" w:eastAsia="微软雅黑" w:hAnsi="微软雅黑" w:cs="宋体"/>
          <w:color w:val="343434"/>
          <w:kern w:val="0"/>
          <w:sz w:val="28"/>
          <w:szCs w:val="28"/>
        </w:rPr>
      </w:pPr>
    </w:p>
    <w:p w:rsidR="00824B54" w:rsidRPr="00824B54" w:rsidRDefault="00824B54" w:rsidP="00824B54">
      <w:pPr>
        <w:widowControl/>
        <w:spacing w:line="441" w:lineRule="atLeast"/>
        <w:jc w:val="right"/>
        <w:rPr>
          <w:rFonts w:ascii="微软雅黑" w:eastAsia="微软雅黑" w:hAnsi="微软雅黑" w:cs="宋体"/>
          <w:color w:val="343434"/>
          <w:kern w:val="0"/>
          <w:sz w:val="28"/>
          <w:szCs w:val="28"/>
        </w:rPr>
      </w:pPr>
      <w:r w:rsidRPr="00824B54">
        <w:rPr>
          <w:rFonts w:ascii="宋体" w:eastAsia="宋体" w:hAnsi="宋体" w:cs="宋体" w:hint="eastAsia"/>
          <w:color w:val="343434"/>
          <w:kern w:val="0"/>
          <w:sz w:val="28"/>
          <w:szCs w:val="28"/>
        </w:rPr>
        <w:t>市财政局    市地税局    市残联</w:t>
      </w:r>
    </w:p>
    <w:p w:rsidR="00824B54" w:rsidRPr="00824B54" w:rsidRDefault="00824B54" w:rsidP="00824B54">
      <w:pPr>
        <w:widowControl/>
        <w:spacing w:line="441" w:lineRule="atLeast"/>
        <w:jc w:val="right"/>
        <w:rPr>
          <w:rFonts w:ascii="微软雅黑" w:eastAsia="微软雅黑" w:hAnsi="微软雅黑" w:cs="宋体"/>
          <w:color w:val="343434"/>
          <w:kern w:val="0"/>
          <w:sz w:val="28"/>
          <w:szCs w:val="28"/>
        </w:rPr>
      </w:pPr>
      <w:r w:rsidRPr="00824B54">
        <w:rPr>
          <w:rFonts w:ascii="宋体" w:eastAsia="宋体" w:hAnsi="宋体" w:cs="宋体" w:hint="eastAsia"/>
          <w:color w:val="343434"/>
          <w:kern w:val="0"/>
          <w:sz w:val="28"/>
          <w:szCs w:val="28"/>
        </w:rPr>
        <w:t>2016年6月8日</w:t>
      </w:r>
    </w:p>
    <w:p w:rsidR="00824B54" w:rsidRPr="00824B54" w:rsidRDefault="00824B54" w:rsidP="00824B54">
      <w:pPr>
        <w:widowControl/>
        <w:spacing w:line="441" w:lineRule="atLeast"/>
        <w:jc w:val="left"/>
        <w:rPr>
          <w:rFonts w:ascii="微软雅黑" w:eastAsia="微软雅黑" w:hAnsi="微软雅黑" w:cs="宋体"/>
          <w:color w:val="343434"/>
          <w:kern w:val="0"/>
          <w:sz w:val="28"/>
          <w:szCs w:val="28"/>
        </w:rPr>
      </w:pPr>
      <w:r w:rsidRPr="00824B54">
        <w:rPr>
          <w:rFonts w:ascii="微软雅黑" w:eastAsia="微软雅黑" w:hAnsi="微软雅黑" w:cs="宋体" w:hint="eastAsia"/>
          <w:color w:val="343434"/>
          <w:kern w:val="0"/>
          <w:sz w:val="28"/>
          <w:szCs w:val="28"/>
        </w:rPr>
        <w:t> </w:t>
      </w:r>
    </w:p>
    <w:p w:rsidR="00824B54" w:rsidRPr="00824B54" w:rsidRDefault="00824B54" w:rsidP="00824B54">
      <w:pPr>
        <w:widowControl/>
        <w:spacing w:line="441" w:lineRule="atLeast"/>
        <w:jc w:val="left"/>
        <w:rPr>
          <w:rFonts w:ascii="微软雅黑" w:eastAsia="微软雅黑" w:hAnsi="微软雅黑" w:cs="宋体"/>
          <w:color w:val="343434"/>
          <w:kern w:val="0"/>
          <w:sz w:val="28"/>
          <w:szCs w:val="28"/>
        </w:rPr>
      </w:pPr>
      <w:r w:rsidRPr="00824B54">
        <w:rPr>
          <w:rFonts w:ascii="微软雅黑" w:eastAsia="微软雅黑" w:hAnsi="微软雅黑" w:cs="宋体" w:hint="eastAsia"/>
          <w:color w:val="343434"/>
          <w:kern w:val="0"/>
          <w:sz w:val="28"/>
          <w:szCs w:val="28"/>
        </w:rPr>
        <w:lastRenderedPageBreak/>
        <w:t> </w:t>
      </w:r>
    </w:p>
    <w:p w:rsidR="00824B54" w:rsidRPr="00824B54" w:rsidRDefault="00824B54" w:rsidP="00824B54">
      <w:pPr>
        <w:widowControl/>
        <w:spacing w:line="441" w:lineRule="atLeast"/>
        <w:jc w:val="left"/>
        <w:rPr>
          <w:rFonts w:ascii="微软雅黑" w:eastAsia="微软雅黑" w:hAnsi="微软雅黑" w:cs="宋体"/>
          <w:color w:val="343434"/>
          <w:kern w:val="0"/>
          <w:sz w:val="28"/>
          <w:szCs w:val="28"/>
        </w:rPr>
      </w:pPr>
      <w:r w:rsidRPr="00824B54">
        <w:rPr>
          <w:rFonts w:ascii="宋体" w:eastAsia="宋体" w:hAnsi="宋体" w:cs="宋体" w:hint="eastAsia"/>
          <w:color w:val="343434"/>
          <w:kern w:val="0"/>
          <w:sz w:val="28"/>
          <w:szCs w:val="28"/>
        </w:rPr>
        <w:t>附件</w:t>
      </w:r>
    </w:p>
    <w:p w:rsidR="00824B54" w:rsidRPr="00824B54" w:rsidRDefault="00824B54" w:rsidP="00824B54">
      <w:pPr>
        <w:widowControl/>
        <w:spacing w:line="441" w:lineRule="atLeast"/>
        <w:jc w:val="center"/>
        <w:rPr>
          <w:rFonts w:ascii="微软雅黑" w:eastAsia="微软雅黑" w:hAnsi="微软雅黑" w:cs="宋体"/>
          <w:color w:val="343434"/>
          <w:kern w:val="0"/>
          <w:sz w:val="28"/>
          <w:szCs w:val="28"/>
        </w:rPr>
      </w:pPr>
      <w:r w:rsidRPr="00824B54">
        <w:rPr>
          <w:rFonts w:ascii="宋体" w:eastAsia="宋体" w:hAnsi="宋体" w:cs="宋体" w:hint="eastAsia"/>
          <w:b/>
          <w:bCs/>
          <w:color w:val="343434"/>
          <w:kern w:val="0"/>
          <w:sz w:val="28"/>
          <w:szCs w:val="28"/>
        </w:rPr>
        <w:t>成都市残疾人就业保障金征收使用管理实施细则</w:t>
      </w:r>
    </w:p>
    <w:p w:rsidR="00824B54" w:rsidRPr="00824B54" w:rsidRDefault="00824B54" w:rsidP="00824B54">
      <w:pPr>
        <w:widowControl/>
        <w:spacing w:line="441" w:lineRule="atLeast"/>
        <w:jc w:val="left"/>
        <w:rPr>
          <w:rFonts w:ascii="微软雅黑" w:eastAsia="微软雅黑" w:hAnsi="微软雅黑" w:cs="宋体"/>
          <w:color w:val="343434"/>
          <w:kern w:val="0"/>
          <w:sz w:val="28"/>
          <w:szCs w:val="28"/>
        </w:rPr>
      </w:pPr>
      <w:r w:rsidRPr="00824B54">
        <w:rPr>
          <w:rFonts w:ascii="微软雅黑" w:eastAsia="微软雅黑" w:hAnsi="微软雅黑" w:cs="宋体" w:hint="eastAsia"/>
          <w:color w:val="343434"/>
          <w:kern w:val="0"/>
          <w:sz w:val="28"/>
          <w:szCs w:val="28"/>
        </w:rPr>
        <w:t> </w:t>
      </w:r>
    </w:p>
    <w:p w:rsidR="004D51EC" w:rsidRPr="00824B54" w:rsidRDefault="00824B54" w:rsidP="00824B54">
      <w:pPr>
        <w:rPr>
          <w:sz w:val="28"/>
          <w:szCs w:val="28"/>
        </w:rPr>
      </w:pP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第一条 </w:t>
      </w:r>
      <w:r w:rsidRPr="00824B54">
        <w:rPr>
          <w:rFonts w:ascii="宋体" w:eastAsia="宋体" w:hAnsi="宋体" w:cs="宋体" w:hint="eastAsia"/>
          <w:color w:val="343434"/>
          <w:kern w:val="0"/>
          <w:sz w:val="28"/>
          <w:szCs w:val="28"/>
        </w:rPr>
        <w:t>为了规范残疾人就业保障金（以下简称“保障金”）征收使用管理，促进我市残疾人就业，根据《中华人民共和国残疾人保障法》、《残疾人就业条例》、《四川省〈中华人民共和国残疾人保障法〉实施办法》、《财政部 国家税务总局 中国残疾人联合会关于印发〈残疾人就业保障金征收使用管理办法〉的通知》（财税〔2015〕72号）和《四川省财政厅 四川省地方税务局 四川省残疾人联合会关于印发〈四川省残疾人就业保障金征收使用管理实施办法〉的通知》（</w:t>
      </w:r>
      <w:proofErr w:type="gramStart"/>
      <w:r w:rsidRPr="00824B54">
        <w:rPr>
          <w:rFonts w:ascii="宋体" w:eastAsia="宋体" w:hAnsi="宋体" w:cs="宋体" w:hint="eastAsia"/>
          <w:color w:val="343434"/>
          <w:kern w:val="0"/>
          <w:sz w:val="28"/>
          <w:szCs w:val="28"/>
        </w:rPr>
        <w:t>川财综</w:t>
      </w:r>
      <w:proofErr w:type="gramEnd"/>
      <w:r w:rsidRPr="00824B54">
        <w:rPr>
          <w:rFonts w:ascii="宋体" w:eastAsia="宋体" w:hAnsi="宋体" w:cs="宋体" w:hint="eastAsia"/>
          <w:color w:val="343434"/>
          <w:kern w:val="0"/>
          <w:sz w:val="28"/>
          <w:szCs w:val="28"/>
        </w:rPr>
        <w:t>〔2016〕1号），结合实际，制定本实施细则。</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第二条</w:t>
      </w:r>
      <w:r w:rsidRPr="00824B54">
        <w:rPr>
          <w:rFonts w:ascii="宋体" w:eastAsia="宋体" w:hAnsi="宋体" w:cs="宋体" w:hint="eastAsia"/>
          <w:color w:val="343434"/>
          <w:kern w:val="0"/>
          <w:sz w:val="28"/>
          <w:szCs w:val="28"/>
        </w:rPr>
        <w:t> 保障金是为保障残疾人权益，由未按规定安排残疾人就业的机关、团体、企业（含个人合伙企业和个人独资企业）、事业单位和民办非企业单位（以下简称“用人单位”）缴纳的资金。</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第三条</w:t>
      </w:r>
      <w:r w:rsidRPr="00824B54">
        <w:rPr>
          <w:rFonts w:ascii="宋体" w:eastAsia="宋体" w:hAnsi="宋体" w:cs="宋体" w:hint="eastAsia"/>
          <w:color w:val="343434"/>
          <w:kern w:val="0"/>
          <w:sz w:val="28"/>
          <w:szCs w:val="28"/>
        </w:rPr>
        <w:t> 成都市范围</w:t>
      </w:r>
      <w:proofErr w:type="gramStart"/>
      <w:r w:rsidRPr="00824B54">
        <w:rPr>
          <w:rFonts w:ascii="宋体" w:eastAsia="宋体" w:hAnsi="宋体" w:cs="宋体" w:hint="eastAsia"/>
          <w:color w:val="343434"/>
          <w:kern w:val="0"/>
          <w:sz w:val="28"/>
          <w:szCs w:val="28"/>
        </w:rPr>
        <w:t>内保障</w:t>
      </w:r>
      <w:proofErr w:type="gramEnd"/>
      <w:r w:rsidRPr="00824B54">
        <w:rPr>
          <w:rFonts w:ascii="宋体" w:eastAsia="宋体" w:hAnsi="宋体" w:cs="宋体" w:hint="eastAsia"/>
          <w:color w:val="343434"/>
          <w:kern w:val="0"/>
          <w:sz w:val="28"/>
          <w:szCs w:val="28"/>
        </w:rPr>
        <w:t>金的征收、使用和管理，适用本细则。</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第四条 </w:t>
      </w:r>
      <w:r w:rsidRPr="00824B54">
        <w:rPr>
          <w:rFonts w:ascii="宋体" w:eastAsia="宋体" w:hAnsi="宋体" w:cs="宋体" w:hint="eastAsia"/>
          <w:color w:val="343434"/>
          <w:kern w:val="0"/>
          <w:sz w:val="28"/>
          <w:szCs w:val="28"/>
        </w:rPr>
        <w:t>本细则所称残疾人，</w:t>
      </w:r>
      <w:proofErr w:type="gramStart"/>
      <w:r w:rsidRPr="00824B54">
        <w:rPr>
          <w:rFonts w:ascii="宋体" w:eastAsia="宋体" w:hAnsi="宋体" w:cs="宋体" w:hint="eastAsia"/>
          <w:color w:val="343434"/>
          <w:kern w:val="0"/>
          <w:sz w:val="28"/>
          <w:szCs w:val="28"/>
        </w:rPr>
        <w:t>是指持有效</w:t>
      </w:r>
      <w:proofErr w:type="gramEnd"/>
      <w:r w:rsidRPr="00824B54">
        <w:rPr>
          <w:rFonts w:ascii="宋体" w:eastAsia="宋体" w:hAnsi="宋体" w:cs="宋体" w:hint="eastAsia"/>
          <w:color w:val="343434"/>
          <w:kern w:val="0"/>
          <w:sz w:val="28"/>
          <w:szCs w:val="28"/>
        </w:rPr>
        <w:t>《中华人民共和国残疾人证》上注明属于视力残疾、听力残疾、言语残疾、肢体残疾、智力残疾、精神残疾和多重残疾的人员，或者持有效《中华人民共和国残疾军人证》（1至8级）的人员。</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第五条</w:t>
      </w:r>
      <w:r w:rsidRPr="00824B54">
        <w:rPr>
          <w:rFonts w:ascii="宋体" w:eastAsia="宋体" w:hAnsi="宋体" w:cs="宋体" w:hint="eastAsia"/>
          <w:color w:val="343434"/>
          <w:kern w:val="0"/>
          <w:sz w:val="28"/>
          <w:szCs w:val="28"/>
        </w:rPr>
        <w:t> 保障金的征收、使用和管理应当接受财政部门的监督检查和审计机关的审计监督。</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lastRenderedPageBreak/>
        <w:t>  </w:t>
      </w:r>
      <w:r w:rsidRPr="00824B54">
        <w:rPr>
          <w:rFonts w:ascii="宋体" w:eastAsia="宋体" w:hAnsi="宋体" w:cs="宋体" w:hint="eastAsia"/>
          <w:b/>
          <w:bCs/>
          <w:color w:val="343434"/>
          <w:kern w:val="0"/>
          <w:sz w:val="28"/>
          <w:szCs w:val="28"/>
        </w:rPr>
        <w:t>第六条</w:t>
      </w:r>
      <w:r w:rsidRPr="00824B54">
        <w:rPr>
          <w:rFonts w:ascii="宋体" w:eastAsia="宋体" w:hAnsi="宋体" w:cs="宋体" w:hint="eastAsia"/>
          <w:color w:val="343434"/>
          <w:kern w:val="0"/>
          <w:sz w:val="28"/>
          <w:szCs w:val="28"/>
        </w:rPr>
        <w:t> </w:t>
      </w:r>
      <w:r w:rsidRPr="00270CAE">
        <w:rPr>
          <w:rFonts w:ascii="宋体" w:eastAsia="宋体" w:hAnsi="宋体" w:cs="宋体" w:hint="eastAsia"/>
          <w:color w:val="343434"/>
          <w:kern w:val="0"/>
          <w:sz w:val="28"/>
          <w:szCs w:val="28"/>
          <w:highlight w:val="yellow"/>
        </w:rPr>
        <w:t>用人单位安排残疾人就业的比例不得低于本单位在职职工总数的1.6%。用人单位安排残疾人就业达不到规定比例的，应当缴纳保障金。</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第七条</w:t>
      </w:r>
      <w:r w:rsidRPr="00824B54">
        <w:rPr>
          <w:rFonts w:ascii="宋体" w:eastAsia="宋体" w:hAnsi="宋体" w:cs="宋体" w:hint="eastAsia"/>
          <w:color w:val="343434"/>
          <w:kern w:val="0"/>
          <w:sz w:val="28"/>
          <w:szCs w:val="28"/>
        </w:rPr>
        <w:t> 用人单位将残疾人录用为在编人员或依法与就业年龄段内的残疾人签订1年以上（含1年）劳动合同（服务协议），且实际支付的工资不低于当地最低工资标准，并按规定足额缴纳社会保险费的，方可按月计入用人单位所安排的残疾人就业人数。</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用人单位安排1名持有效《中华人民共和国残疾人证》（1至2级）或《中华人民共和国残疾军人证》（1至3级）的人员就业的，按照安排2名残疾人就业计算。</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用人单位跨地区招用残疾人的，应当计入所安排的残疾人就业人数。</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第八条</w:t>
      </w:r>
      <w:r w:rsidRPr="00824B54">
        <w:rPr>
          <w:rFonts w:ascii="宋体" w:eastAsia="宋体" w:hAnsi="宋体" w:cs="宋体" w:hint="eastAsia"/>
          <w:color w:val="343434"/>
          <w:kern w:val="0"/>
          <w:sz w:val="28"/>
          <w:szCs w:val="28"/>
        </w:rPr>
        <w:t> 保障金按月计算，按年汇总一次性缴纳。月应缴额按上年用人单位每月安排残疾人就业未达到规定比例的差额人数和本单位在职职工月平均工资之积计算。计算公式如下：</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保障金月应缴额＝（上年用人</w:t>
      </w:r>
      <w:proofErr w:type="gramStart"/>
      <w:r w:rsidRPr="00824B54">
        <w:rPr>
          <w:rFonts w:ascii="宋体" w:eastAsia="宋体" w:hAnsi="宋体" w:cs="宋体" w:hint="eastAsia"/>
          <w:color w:val="343434"/>
          <w:kern w:val="0"/>
          <w:sz w:val="28"/>
          <w:szCs w:val="28"/>
        </w:rPr>
        <w:t>单位月在职</w:t>
      </w:r>
      <w:proofErr w:type="gramEnd"/>
      <w:r w:rsidRPr="00824B54">
        <w:rPr>
          <w:rFonts w:ascii="宋体" w:eastAsia="宋体" w:hAnsi="宋体" w:cs="宋体" w:hint="eastAsia"/>
          <w:color w:val="343434"/>
          <w:kern w:val="0"/>
          <w:sz w:val="28"/>
          <w:szCs w:val="28"/>
        </w:rPr>
        <w:t>职工人数×1.6%-上年用人单位当月实际安排的残疾人就业人数）×上年用人单位在职职工月平均工资。</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用人</w:t>
      </w:r>
      <w:proofErr w:type="gramStart"/>
      <w:r w:rsidRPr="00824B54">
        <w:rPr>
          <w:rFonts w:ascii="宋体" w:eastAsia="宋体" w:hAnsi="宋体" w:cs="宋体" w:hint="eastAsia"/>
          <w:color w:val="343434"/>
          <w:kern w:val="0"/>
          <w:sz w:val="28"/>
          <w:szCs w:val="28"/>
        </w:rPr>
        <w:t>单位月在职</w:t>
      </w:r>
      <w:proofErr w:type="gramEnd"/>
      <w:r w:rsidRPr="00824B54">
        <w:rPr>
          <w:rFonts w:ascii="宋体" w:eastAsia="宋体" w:hAnsi="宋体" w:cs="宋体" w:hint="eastAsia"/>
          <w:color w:val="343434"/>
          <w:kern w:val="0"/>
          <w:sz w:val="28"/>
          <w:szCs w:val="28"/>
        </w:rPr>
        <w:t>职工，是指用人单位当月在编人员或依法与用人单位签订1年以上（含1年）劳动合同（服务协议）的人员。季节性用工应当折算为月平均用工人数。以劳务派遣用工的，计入派遣单位在职职工人数。</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lastRenderedPageBreak/>
        <w:t>  用人单位安排残疾人就业未达到规定比例的差额人数，以公式计算结果为准，可以不是整数。</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上年用人单位在职职工月平均工资，按用人单位上年在职职工工资总额除以12再除以用人单位当月在职职工人数计算。</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用人单位存续不到一年的，按实际月份计算征收保障金；成立不到一个月的，不征保障金。</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第九条</w:t>
      </w:r>
      <w:r w:rsidRPr="00824B54">
        <w:rPr>
          <w:rFonts w:ascii="宋体" w:eastAsia="宋体" w:hAnsi="宋体" w:cs="宋体" w:hint="eastAsia"/>
          <w:color w:val="343434"/>
          <w:kern w:val="0"/>
          <w:sz w:val="28"/>
          <w:szCs w:val="28"/>
        </w:rPr>
        <w:t> 保障金由用人单位所在地的同级地方税务机关（以下简称“税务机关”）负责征收。</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第十条</w:t>
      </w:r>
      <w:r w:rsidRPr="00824B54">
        <w:rPr>
          <w:rFonts w:ascii="宋体" w:eastAsia="宋体" w:hAnsi="宋体" w:cs="宋体" w:hint="eastAsia"/>
          <w:color w:val="343434"/>
          <w:kern w:val="0"/>
          <w:sz w:val="28"/>
          <w:szCs w:val="28"/>
        </w:rPr>
        <w:t> 残疾人就业服务机构应当配合税务机关做好相关征收工作。</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用人单位应于每年6月底前如实向所在地的同级残疾人就业服务机构申报上年本单位安排的残疾人就业人数。</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残疾人就业服务机构进行审核后，确定用人单位每月实际安排的残疾人就业人数，并出具《成都市用人单位安排残疾人就业情况审核确认书》（见附件）。</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用人单位未在规定时限申报的，视为未安排残疾人就业。</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第十一条</w:t>
      </w:r>
      <w:r w:rsidRPr="00824B54">
        <w:rPr>
          <w:rFonts w:ascii="宋体" w:eastAsia="宋体" w:hAnsi="宋体" w:cs="宋体" w:hint="eastAsia"/>
          <w:color w:val="343434"/>
          <w:kern w:val="0"/>
          <w:sz w:val="28"/>
          <w:szCs w:val="28"/>
        </w:rPr>
        <w:t> 用人单位应于每年7至12月向税务机关申报缴纳上年度保障金。在申报时，应提供本单位在职职工人数、实际安排残疾人就业人数、在职职工月平均工资等信息，并保证信息的真实性和完整性。</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对已安排残疾人的，应同时出具用人单位所在地的同级残疾人就业服务机构审定的《成都市用人单位安排残疾人就业情况审核确认</w:t>
      </w:r>
      <w:r w:rsidRPr="00824B54">
        <w:rPr>
          <w:rFonts w:ascii="宋体" w:eastAsia="宋体" w:hAnsi="宋体" w:cs="宋体" w:hint="eastAsia"/>
          <w:color w:val="343434"/>
          <w:kern w:val="0"/>
          <w:sz w:val="28"/>
          <w:szCs w:val="28"/>
        </w:rPr>
        <w:lastRenderedPageBreak/>
        <w:t>书》。税务机关凭此《确认书》核定用人单位应当缴纳的保障金。</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残疾人就业服务机构定期将实际安排的残疾人就业数据交换给税务机关；税务机关将用人单位申报的在职职工人数定期抄送给残疾人就业服务机构。</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第十二条 </w:t>
      </w:r>
      <w:r w:rsidRPr="00824B54">
        <w:rPr>
          <w:rFonts w:ascii="宋体" w:eastAsia="宋体" w:hAnsi="宋体" w:cs="宋体" w:hint="eastAsia"/>
          <w:color w:val="343434"/>
          <w:kern w:val="0"/>
          <w:sz w:val="28"/>
          <w:szCs w:val="28"/>
        </w:rPr>
        <w:t>税务机关应当定期对用人单位进行检查。发现用人单位申报不实、少缴纳保障金的，税务机关应当催报并追缴保障金。</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第十三条 </w:t>
      </w:r>
      <w:r w:rsidRPr="00824B54">
        <w:rPr>
          <w:rFonts w:ascii="宋体" w:eastAsia="宋体" w:hAnsi="宋体" w:cs="宋体" w:hint="eastAsia"/>
          <w:color w:val="343434"/>
          <w:kern w:val="0"/>
          <w:sz w:val="28"/>
          <w:szCs w:val="28"/>
        </w:rPr>
        <w:t>税务机关征收保障金时，应当向用人单位开具税收票证。</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第十四条</w:t>
      </w:r>
      <w:r w:rsidRPr="00824B54">
        <w:rPr>
          <w:rFonts w:ascii="宋体" w:eastAsia="宋体" w:hAnsi="宋体" w:cs="宋体" w:hint="eastAsia"/>
          <w:color w:val="343434"/>
          <w:kern w:val="0"/>
          <w:sz w:val="28"/>
          <w:szCs w:val="28"/>
        </w:rPr>
        <w:t> 保障金全额缴入地方国库。其中，锦江区、青羊区、金牛区、武侯区、成华区征收的保障金按市和区52%、48%的比例就地入库；其余区（市）县按市和区（市）县10%、90%的比例就地入库。其中，市级行政事业单位保障金实行属地化缴纳后，由相关区（市）县按基数加增长的办法上解市财政，具体办法另行规定。市级固定收入企业缴纳的保障金缴入市财政。</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第十五条</w:t>
      </w:r>
      <w:r w:rsidRPr="00824B54">
        <w:rPr>
          <w:rFonts w:ascii="宋体" w:eastAsia="宋体" w:hAnsi="宋体" w:cs="宋体" w:hint="eastAsia"/>
          <w:color w:val="343434"/>
          <w:kern w:val="0"/>
          <w:sz w:val="28"/>
          <w:szCs w:val="28"/>
        </w:rPr>
        <w:t> 税务机关应积极采取财税库</w:t>
      </w:r>
      <w:proofErr w:type="gramStart"/>
      <w:r w:rsidRPr="00824B54">
        <w:rPr>
          <w:rFonts w:ascii="宋体" w:eastAsia="宋体" w:hAnsi="宋体" w:cs="宋体" w:hint="eastAsia"/>
          <w:color w:val="343434"/>
          <w:kern w:val="0"/>
          <w:sz w:val="28"/>
          <w:szCs w:val="28"/>
        </w:rPr>
        <w:t>银税收</w:t>
      </w:r>
      <w:proofErr w:type="gramEnd"/>
      <w:r w:rsidRPr="00824B54">
        <w:rPr>
          <w:rFonts w:ascii="宋体" w:eastAsia="宋体" w:hAnsi="宋体" w:cs="宋体" w:hint="eastAsia"/>
          <w:color w:val="343434"/>
          <w:kern w:val="0"/>
          <w:sz w:val="28"/>
          <w:szCs w:val="28"/>
        </w:rPr>
        <w:t>收入电子缴库横向联网方式征缴保障金。</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用人单位出现多缴、重缴、误</w:t>
      </w:r>
      <w:proofErr w:type="gramStart"/>
      <w:r w:rsidRPr="00824B54">
        <w:rPr>
          <w:rFonts w:ascii="宋体" w:eastAsia="宋体" w:hAnsi="宋体" w:cs="宋体" w:hint="eastAsia"/>
          <w:color w:val="343434"/>
          <w:kern w:val="0"/>
          <w:sz w:val="28"/>
          <w:szCs w:val="28"/>
        </w:rPr>
        <w:t>缴保障</w:t>
      </w:r>
      <w:proofErr w:type="gramEnd"/>
      <w:r w:rsidRPr="00824B54">
        <w:rPr>
          <w:rFonts w:ascii="宋体" w:eastAsia="宋体" w:hAnsi="宋体" w:cs="宋体" w:hint="eastAsia"/>
          <w:color w:val="343434"/>
          <w:kern w:val="0"/>
          <w:sz w:val="28"/>
          <w:szCs w:val="28"/>
        </w:rPr>
        <w:t>金等情况需退库的，由用人单位填制退库申请表，并附原缴费凭证复印件及相关证明文件，经用人单位所在地的同级地方税务机关审核，由用人单位所在地的同级财政部门审核确认后办理退库手续。</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第十六条 </w:t>
      </w:r>
      <w:r w:rsidRPr="00824B54">
        <w:rPr>
          <w:rFonts w:ascii="宋体" w:eastAsia="宋体" w:hAnsi="宋体" w:cs="宋体" w:hint="eastAsia"/>
          <w:color w:val="343434"/>
          <w:kern w:val="0"/>
          <w:sz w:val="28"/>
          <w:szCs w:val="28"/>
        </w:rPr>
        <w:t>自工商登记注册之日起3年内，对安排残疾人就业未达到规定比例、在职职工总数20人以下（含20人）的小微企业，免</w:t>
      </w:r>
      <w:r w:rsidRPr="00824B54">
        <w:rPr>
          <w:rFonts w:ascii="宋体" w:eastAsia="宋体" w:hAnsi="宋体" w:cs="宋体" w:hint="eastAsia"/>
          <w:color w:val="343434"/>
          <w:kern w:val="0"/>
          <w:sz w:val="28"/>
          <w:szCs w:val="28"/>
        </w:rPr>
        <w:lastRenderedPageBreak/>
        <w:t>征保障金。</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bookmarkStart w:id="0" w:name="_GoBack"/>
      <w:r w:rsidRPr="00824B54">
        <w:rPr>
          <w:rFonts w:ascii="宋体" w:eastAsia="宋体" w:hAnsi="宋体" w:cs="宋体" w:hint="eastAsia"/>
          <w:b/>
          <w:bCs/>
          <w:color w:val="343434"/>
          <w:kern w:val="0"/>
          <w:sz w:val="28"/>
          <w:szCs w:val="28"/>
        </w:rPr>
        <w:t>第十七条</w:t>
      </w:r>
      <w:r w:rsidRPr="00824B54">
        <w:rPr>
          <w:rFonts w:ascii="宋体" w:eastAsia="宋体" w:hAnsi="宋体" w:cs="宋体" w:hint="eastAsia"/>
          <w:color w:val="343434"/>
          <w:kern w:val="0"/>
          <w:sz w:val="28"/>
          <w:szCs w:val="28"/>
        </w:rPr>
        <w:t> 用人单位遇不可抗力自然灾害或其他突发事件遭受重大直接经济损失，可以申请减免或者缓缴保障金。</w:t>
      </w:r>
      <w:bookmarkEnd w:id="0"/>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申请减免缓缴保障金的用人单位应于每年4月底前持书面申请报告、遭受灾害有效证明（由新闻媒体、保险公司、政府相关行政部门出具）、财务会计报告（由会计师事务所出具）等材料向用人单位所在地的同级地方税务机关提出申请，财政部门按有关规定审批后于5月底前将审批结果反馈用人单位所在地的同级地方税务机关，进行数据更新和征缴保障金。其中，市级行政事业单位由所在地的区（市）县财政局汇总后报市财政局审批。</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用人单位申请减免保障金的最高限额不得超过该单位当年应缴保障金的总额，申请缓缴保障金的最长期限不得超过6个月。</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xml:space="preserve">　批准减免或者缓缴保障金的用人单位名单，应当每年公告一次。公告内容应当包括批准机关、批准文号、批准减免或缓缴保障金的主要理由等。</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第十八条</w:t>
      </w:r>
      <w:r w:rsidRPr="00824B54">
        <w:rPr>
          <w:rFonts w:ascii="宋体" w:eastAsia="宋体" w:hAnsi="宋体" w:cs="宋体" w:hint="eastAsia"/>
          <w:color w:val="343434"/>
          <w:kern w:val="0"/>
          <w:sz w:val="28"/>
          <w:szCs w:val="28"/>
        </w:rPr>
        <w:t> 税务机关应当严格按规定的范围、标准和时限要求征收保障金，确保保障金及时、足额征缴到位。</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第十九条</w:t>
      </w:r>
      <w:r w:rsidRPr="00824B54">
        <w:rPr>
          <w:rFonts w:ascii="宋体" w:eastAsia="宋体" w:hAnsi="宋体" w:cs="宋体" w:hint="eastAsia"/>
          <w:color w:val="343434"/>
          <w:kern w:val="0"/>
          <w:sz w:val="28"/>
          <w:szCs w:val="28"/>
        </w:rPr>
        <w:t> 任何单位和个人均不得违反本细则规定，擅自减免或缓征保障金，不得自行改变保障金的征收对象、范围和标准。</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第二十条</w:t>
      </w:r>
      <w:r w:rsidRPr="00824B54">
        <w:rPr>
          <w:rFonts w:ascii="宋体" w:eastAsia="宋体" w:hAnsi="宋体" w:cs="宋体" w:hint="eastAsia"/>
          <w:color w:val="343434"/>
          <w:kern w:val="0"/>
          <w:sz w:val="28"/>
          <w:szCs w:val="28"/>
        </w:rPr>
        <w:t> 各区（市）</w:t>
      </w:r>
      <w:proofErr w:type="gramStart"/>
      <w:r w:rsidRPr="00824B54">
        <w:rPr>
          <w:rFonts w:ascii="宋体" w:eastAsia="宋体" w:hAnsi="宋体" w:cs="宋体" w:hint="eastAsia"/>
          <w:color w:val="343434"/>
          <w:kern w:val="0"/>
          <w:sz w:val="28"/>
          <w:szCs w:val="28"/>
        </w:rPr>
        <w:t>县应当</w:t>
      </w:r>
      <w:proofErr w:type="gramEnd"/>
      <w:r w:rsidRPr="00824B54">
        <w:rPr>
          <w:rFonts w:ascii="宋体" w:eastAsia="宋体" w:hAnsi="宋体" w:cs="宋体" w:hint="eastAsia"/>
          <w:color w:val="343434"/>
          <w:kern w:val="0"/>
          <w:sz w:val="28"/>
          <w:szCs w:val="28"/>
        </w:rPr>
        <w:t>建立用人单位按比例安排残疾人就业及缴纳保障金公示制度。</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各区（市）县残疾人联合会应当每年向社会公布本地区用人单位</w:t>
      </w:r>
      <w:r w:rsidRPr="00824B54">
        <w:rPr>
          <w:rFonts w:ascii="宋体" w:eastAsia="宋体" w:hAnsi="宋体" w:cs="宋体" w:hint="eastAsia"/>
          <w:color w:val="343434"/>
          <w:kern w:val="0"/>
          <w:sz w:val="28"/>
          <w:szCs w:val="28"/>
        </w:rPr>
        <w:lastRenderedPageBreak/>
        <w:t>应安排残疾人就业人数、实际安排残疾人就业人数和未按规定安排残疾人就业人数。</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各区（市）县税务机关应当于每年3月底前向社会公布本地区用人单位缴纳保障金情况。</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第二十一条</w:t>
      </w:r>
      <w:r w:rsidRPr="00824B54">
        <w:rPr>
          <w:rFonts w:ascii="宋体" w:eastAsia="宋体" w:hAnsi="宋体" w:cs="宋体" w:hint="eastAsia"/>
          <w:color w:val="343434"/>
          <w:kern w:val="0"/>
          <w:sz w:val="28"/>
          <w:szCs w:val="28"/>
        </w:rPr>
        <w:t> 保障金纳入地方一般公共预算统筹安排，主要用于支持残疾人就业和保障残疾人生活。支持方向包括：</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（一）残疾人职业培训、职业教育和职业康复支出。</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（二）残疾人就业服务机构提供残疾人就业服务和组织职业技能竞赛（</w:t>
      </w:r>
      <w:proofErr w:type="gramStart"/>
      <w:r w:rsidRPr="00824B54">
        <w:rPr>
          <w:rFonts w:ascii="宋体" w:eastAsia="宋体" w:hAnsi="宋体" w:cs="宋体" w:hint="eastAsia"/>
          <w:color w:val="343434"/>
          <w:kern w:val="0"/>
          <w:sz w:val="28"/>
          <w:szCs w:val="28"/>
        </w:rPr>
        <w:t>含展能</w:t>
      </w:r>
      <w:proofErr w:type="gramEnd"/>
      <w:r w:rsidRPr="00824B54">
        <w:rPr>
          <w:rFonts w:ascii="宋体" w:eastAsia="宋体" w:hAnsi="宋体" w:cs="宋体" w:hint="eastAsia"/>
          <w:color w:val="343434"/>
          <w:kern w:val="0"/>
          <w:sz w:val="28"/>
          <w:szCs w:val="28"/>
        </w:rPr>
        <w:t>活动）支出。补贴用人单位安排残疾人就业所需设施设备购置、改造和支持性服务费用。补贴辅助性就业机构建设和运行费用。</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三）残疾人从事个体经营、自主创业、灵活就业的经营场所租赁、启动资金、设施设备购置补贴和小额贷款贴息。各种形式就业残疾人的社会保险缴费补贴和用人单位岗位补贴。扶持农村残疾人从事种植、养殖、手工业及其他形式生产劳动。</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（四）奖励超比例安排残疾人就业的用人单位，以及为安排残疾人就业做出显著成绩的单位或个人。</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（五）对从事公益性岗位就业、辅助性就业、灵活就业，收入达不到当地最低工资标准、生活确有困难的残疾人的救济补助。</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（六）经县级（含县级）以上地方人民政府及其财政部门批准用于资助重度残疾人参加养老保险、促进残疾人就业和保障困难残疾人、重度残疾人生活等其他支出。</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lastRenderedPageBreak/>
        <w:t>  </w:t>
      </w:r>
      <w:r w:rsidRPr="00824B54">
        <w:rPr>
          <w:rFonts w:ascii="宋体" w:eastAsia="宋体" w:hAnsi="宋体" w:cs="宋体" w:hint="eastAsia"/>
          <w:b/>
          <w:bCs/>
          <w:color w:val="343434"/>
          <w:kern w:val="0"/>
          <w:sz w:val="28"/>
          <w:szCs w:val="28"/>
        </w:rPr>
        <w:t>第二十二条</w:t>
      </w:r>
      <w:r w:rsidRPr="00824B54">
        <w:rPr>
          <w:rFonts w:ascii="宋体" w:eastAsia="宋体" w:hAnsi="宋体" w:cs="宋体" w:hint="eastAsia"/>
          <w:color w:val="343434"/>
          <w:kern w:val="0"/>
          <w:sz w:val="28"/>
          <w:szCs w:val="28"/>
        </w:rPr>
        <w:t> 各级残疾人联合会所属残疾人就业服务机构的正常经费开支，由同级财政预算统筹安排。</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第二十三条</w:t>
      </w:r>
      <w:r w:rsidRPr="00824B54">
        <w:rPr>
          <w:rFonts w:ascii="宋体" w:eastAsia="宋体" w:hAnsi="宋体" w:cs="宋体" w:hint="eastAsia"/>
          <w:color w:val="343434"/>
          <w:kern w:val="0"/>
          <w:sz w:val="28"/>
          <w:szCs w:val="28"/>
        </w:rPr>
        <w:t> 各级要积极推行政府购买服务，按照政府采购法律制度规定选择符合要求的公办、</w:t>
      </w:r>
      <w:proofErr w:type="gramStart"/>
      <w:r w:rsidRPr="00824B54">
        <w:rPr>
          <w:rFonts w:ascii="宋体" w:eastAsia="宋体" w:hAnsi="宋体" w:cs="宋体" w:hint="eastAsia"/>
          <w:color w:val="343434"/>
          <w:kern w:val="0"/>
          <w:sz w:val="28"/>
          <w:szCs w:val="28"/>
        </w:rPr>
        <w:t>民办等</w:t>
      </w:r>
      <w:proofErr w:type="gramEnd"/>
      <w:r w:rsidRPr="00824B54">
        <w:rPr>
          <w:rFonts w:ascii="宋体" w:eastAsia="宋体" w:hAnsi="宋体" w:cs="宋体" w:hint="eastAsia"/>
          <w:color w:val="343434"/>
          <w:kern w:val="0"/>
          <w:sz w:val="28"/>
          <w:szCs w:val="28"/>
        </w:rPr>
        <w:t>各类就业服务机构，承接残疾人职业培训、职业教育、职业康复、就业服务和就业援助等工作。</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第二十四条</w:t>
      </w:r>
      <w:r w:rsidRPr="00824B54">
        <w:rPr>
          <w:rFonts w:ascii="宋体" w:eastAsia="宋体" w:hAnsi="宋体" w:cs="宋体" w:hint="eastAsia"/>
          <w:color w:val="343434"/>
          <w:kern w:val="0"/>
          <w:sz w:val="28"/>
          <w:szCs w:val="28"/>
        </w:rPr>
        <w:t> 各级残疾人联合会、财政部门应当于每年3月底前向社会公布上年保障金用于支持残疾人就业和保障残疾人生活支出情况，接受社会监督。</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第二十五条</w:t>
      </w:r>
      <w:r w:rsidRPr="00824B54">
        <w:rPr>
          <w:rFonts w:ascii="宋体" w:eastAsia="宋体" w:hAnsi="宋体" w:cs="宋体" w:hint="eastAsia"/>
          <w:color w:val="343434"/>
          <w:kern w:val="0"/>
          <w:sz w:val="28"/>
          <w:szCs w:val="28"/>
        </w:rPr>
        <w:t> 单位和个人违反本细则规定，有下列情形之一的，依照《财政违法行为处罚处分条例》和《违反行政事业性收费和罚没收入收支两条线管理规定行政处分暂行规定》等国家有关规定追究法律责任；涉嫌犯罪的，依法移送司法机关处理：</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（一）擅自减免保障金或者改变保障金征收范围、对象和标准的；</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（二）隐瞒、坐支应当上缴的保障金的；</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（三）滞留、截留、挪用应当上缴的保障金的；</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（四）不按照规定的预算级次、预算科目将保障金缴入国库的；</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（五）违反规定使用保障金的；</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（六）其他违反国家财政收入管理规定的行为。</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第二十六条</w:t>
      </w:r>
      <w:r w:rsidRPr="00824B54">
        <w:rPr>
          <w:rFonts w:ascii="宋体" w:eastAsia="宋体" w:hAnsi="宋体" w:cs="宋体" w:hint="eastAsia"/>
          <w:color w:val="343434"/>
          <w:kern w:val="0"/>
          <w:sz w:val="28"/>
          <w:szCs w:val="28"/>
        </w:rPr>
        <w:t> 用人单位未按规定缴纳保障金的，按照《残疾人就业条例》的规定，由税务机关提交财政部门，由财政部门予以警告，责令限期缴纳；逾期仍不缴纳的，除补缴欠缴数额外，还应当自欠缴之日起，按日加收5‰的滞纳金。滞纳金按照保障金入库预算级次缴</w:t>
      </w:r>
      <w:r w:rsidRPr="00824B54">
        <w:rPr>
          <w:rFonts w:ascii="宋体" w:eastAsia="宋体" w:hAnsi="宋体" w:cs="宋体" w:hint="eastAsia"/>
          <w:color w:val="343434"/>
          <w:kern w:val="0"/>
          <w:sz w:val="28"/>
          <w:szCs w:val="28"/>
        </w:rPr>
        <w:lastRenderedPageBreak/>
        <w:t>入国库。</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第二十七条</w:t>
      </w:r>
      <w:r w:rsidRPr="00824B54">
        <w:rPr>
          <w:rFonts w:ascii="宋体" w:eastAsia="宋体" w:hAnsi="宋体" w:cs="宋体" w:hint="eastAsia"/>
          <w:color w:val="343434"/>
          <w:kern w:val="0"/>
          <w:sz w:val="28"/>
          <w:szCs w:val="28"/>
        </w:rPr>
        <w:t> 保障金征收、使用管理有关部门的工作人员违反本细则规定，在保障金征收和使用管理工作中滥用职权、玩忽职守、徇私舞弊的，依法给予处分；涉嫌犯罪的，依法移送司法机关。</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第二十八条</w:t>
      </w:r>
      <w:r w:rsidRPr="00824B54">
        <w:rPr>
          <w:rFonts w:ascii="宋体" w:eastAsia="宋体" w:hAnsi="宋体" w:cs="宋体" w:hint="eastAsia"/>
          <w:color w:val="343434"/>
          <w:kern w:val="0"/>
          <w:sz w:val="28"/>
          <w:szCs w:val="28"/>
        </w:rPr>
        <w:t> 本细则由市财政局会同市地税局、市残疾人联合会负责解释。</w:t>
      </w:r>
      <w:r w:rsidRPr="00824B54">
        <w:rPr>
          <w:rFonts w:ascii="微软雅黑" w:eastAsia="微软雅黑" w:hAnsi="微软雅黑" w:cs="宋体" w:hint="eastAsia"/>
          <w:color w:val="343434"/>
          <w:kern w:val="0"/>
          <w:sz w:val="28"/>
          <w:szCs w:val="28"/>
        </w:rPr>
        <w:br/>
      </w:r>
      <w:r w:rsidRPr="00824B54">
        <w:rPr>
          <w:rFonts w:ascii="宋体" w:eastAsia="宋体" w:hAnsi="宋体" w:cs="宋体" w:hint="eastAsia"/>
          <w:color w:val="343434"/>
          <w:kern w:val="0"/>
          <w:sz w:val="28"/>
          <w:szCs w:val="28"/>
        </w:rPr>
        <w:t>  </w:t>
      </w:r>
      <w:r w:rsidRPr="00824B54">
        <w:rPr>
          <w:rFonts w:ascii="宋体" w:eastAsia="宋体" w:hAnsi="宋体" w:cs="宋体" w:hint="eastAsia"/>
          <w:b/>
          <w:bCs/>
          <w:color w:val="343434"/>
          <w:kern w:val="0"/>
          <w:sz w:val="28"/>
          <w:szCs w:val="28"/>
        </w:rPr>
        <w:t>第二十九条</w:t>
      </w:r>
      <w:r w:rsidRPr="00824B54">
        <w:rPr>
          <w:rFonts w:ascii="宋体" w:eastAsia="宋体" w:hAnsi="宋体" w:cs="宋体" w:hint="eastAsia"/>
          <w:color w:val="343434"/>
          <w:kern w:val="0"/>
          <w:sz w:val="28"/>
          <w:szCs w:val="28"/>
        </w:rPr>
        <w:t> 本细则自印发之日起施行。有效期五年。我市之前相关规定同时废止。</w:t>
      </w:r>
    </w:p>
    <w:sectPr w:rsidR="004D51EC" w:rsidRPr="00824B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54"/>
    <w:rsid w:val="00270CAE"/>
    <w:rsid w:val="0043528D"/>
    <w:rsid w:val="004D51EC"/>
    <w:rsid w:val="0082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68EEA-F79E-4A7F-809E-C19FF2CF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24B5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824B5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4B54"/>
    <w:rPr>
      <w:rFonts w:ascii="宋体" w:eastAsia="宋体" w:hAnsi="宋体" w:cs="宋体"/>
      <w:b/>
      <w:bCs/>
      <w:kern w:val="36"/>
      <w:sz w:val="48"/>
      <w:szCs w:val="48"/>
    </w:rPr>
  </w:style>
  <w:style w:type="character" w:customStyle="1" w:styleId="3Char">
    <w:name w:val="标题 3 Char"/>
    <w:basedOn w:val="a0"/>
    <w:link w:val="3"/>
    <w:uiPriority w:val="9"/>
    <w:rsid w:val="00824B54"/>
    <w:rPr>
      <w:rFonts w:ascii="宋体" w:eastAsia="宋体" w:hAnsi="宋体" w:cs="宋体"/>
      <w:b/>
      <w:bCs/>
      <w:kern w:val="0"/>
      <w:sz w:val="27"/>
      <w:szCs w:val="27"/>
    </w:rPr>
  </w:style>
  <w:style w:type="character" w:styleId="a3">
    <w:name w:val="Hyperlink"/>
    <w:basedOn w:val="a0"/>
    <w:uiPriority w:val="99"/>
    <w:semiHidden/>
    <w:unhideWhenUsed/>
    <w:rsid w:val="00824B54"/>
    <w:rPr>
      <w:color w:val="0000FF"/>
      <w:u w:val="single"/>
    </w:rPr>
  </w:style>
  <w:style w:type="paragraph" w:styleId="a4">
    <w:name w:val="Normal (Web)"/>
    <w:basedOn w:val="a"/>
    <w:uiPriority w:val="99"/>
    <w:semiHidden/>
    <w:unhideWhenUsed/>
    <w:rsid w:val="00824B54"/>
    <w:pPr>
      <w:widowControl/>
      <w:spacing w:before="100" w:beforeAutospacing="1" w:after="100" w:afterAutospacing="1"/>
      <w:jc w:val="left"/>
    </w:pPr>
    <w:rPr>
      <w:rFonts w:ascii="宋体" w:eastAsia="宋体" w:hAnsi="宋体" w:cs="宋体"/>
      <w:kern w:val="0"/>
      <w:sz w:val="24"/>
      <w:szCs w:val="24"/>
    </w:rPr>
  </w:style>
  <w:style w:type="character" w:customStyle="1" w:styleId="l1">
    <w:name w:val="l1"/>
    <w:basedOn w:val="a0"/>
    <w:rsid w:val="00824B54"/>
  </w:style>
  <w:style w:type="character" w:styleId="a5">
    <w:name w:val="Strong"/>
    <w:basedOn w:val="a0"/>
    <w:uiPriority w:val="22"/>
    <w:qFormat/>
    <w:rsid w:val="00824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654</Words>
  <Characters>3734</Characters>
  <Application>Microsoft Office Word</Application>
  <DocSecurity>0</DocSecurity>
  <Lines>31</Lines>
  <Paragraphs>8</Paragraphs>
  <ScaleCrop>false</ScaleCrop>
  <Company>微软公司</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2020-08-12T01:46:00Z</dcterms:created>
  <dcterms:modified xsi:type="dcterms:W3CDTF">2020-08-12T02:17:00Z</dcterms:modified>
</cp:coreProperties>
</file>