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AE" w:rsidRPr="00110CAE" w:rsidRDefault="00110CAE" w:rsidP="00110CAE">
      <w:pPr>
        <w:widowControl/>
        <w:shd w:val="clear" w:color="auto" w:fill="FFFFFF"/>
        <w:spacing w:line="720" w:lineRule="atLeast"/>
        <w:jc w:val="center"/>
        <w:rPr>
          <w:rFonts w:ascii="Microsoft Yahei" w:eastAsia="宋体" w:hAnsi="Microsoft Yahei" w:cs="宋体"/>
          <w:b/>
          <w:bCs/>
          <w:color w:val="0166B5"/>
          <w:kern w:val="0"/>
          <w:sz w:val="44"/>
          <w:szCs w:val="44"/>
          <w:lang w:val="en"/>
        </w:rPr>
      </w:pPr>
      <w:r w:rsidRPr="00110CAE">
        <w:rPr>
          <w:rFonts w:ascii="Microsoft Yahei" w:eastAsia="宋体" w:hAnsi="Microsoft Yahei" w:cs="宋体"/>
          <w:b/>
          <w:bCs/>
          <w:color w:val="0166B5"/>
          <w:kern w:val="0"/>
          <w:sz w:val="44"/>
          <w:szCs w:val="44"/>
          <w:lang w:val="en"/>
        </w:rPr>
        <w:t>人力资源社会保障部</w:t>
      </w:r>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国家发展改革委</w:t>
      </w:r>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交通运输部</w:t>
      </w:r>
      <w:r w:rsidRPr="00110CAE">
        <w:rPr>
          <w:rFonts w:ascii="Microsoft Yahei" w:eastAsia="宋体" w:hAnsi="Microsoft Yahei" w:cs="宋体"/>
          <w:b/>
          <w:bCs/>
          <w:color w:val="0166B5"/>
          <w:kern w:val="0"/>
          <w:sz w:val="44"/>
          <w:szCs w:val="44"/>
          <w:lang w:val="en"/>
        </w:rPr>
        <w:t xml:space="preserve"> </w:t>
      </w:r>
      <w:proofErr w:type="gramStart"/>
      <w:r w:rsidRPr="00110CAE">
        <w:rPr>
          <w:rFonts w:ascii="Microsoft Yahei" w:eastAsia="宋体" w:hAnsi="Microsoft Yahei" w:cs="宋体"/>
          <w:b/>
          <w:bCs/>
          <w:color w:val="0166B5"/>
          <w:kern w:val="0"/>
          <w:sz w:val="44"/>
          <w:szCs w:val="44"/>
          <w:lang w:val="en"/>
        </w:rPr>
        <w:t>应急部</w:t>
      </w:r>
      <w:proofErr w:type="gramEnd"/>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市场监管总局</w:t>
      </w:r>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国家</w:t>
      </w:r>
      <w:proofErr w:type="gramStart"/>
      <w:r w:rsidRPr="00110CAE">
        <w:rPr>
          <w:rFonts w:ascii="Microsoft Yahei" w:eastAsia="宋体" w:hAnsi="Microsoft Yahei" w:cs="宋体"/>
          <w:b/>
          <w:bCs/>
          <w:color w:val="0166B5"/>
          <w:kern w:val="0"/>
          <w:sz w:val="44"/>
          <w:szCs w:val="44"/>
          <w:lang w:val="en"/>
        </w:rPr>
        <w:t>医</w:t>
      </w:r>
      <w:proofErr w:type="gramEnd"/>
      <w:r w:rsidRPr="00110CAE">
        <w:rPr>
          <w:rFonts w:ascii="Microsoft Yahei" w:eastAsia="宋体" w:hAnsi="Microsoft Yahei" w:cs="宋体"/>
          <w:b/>
          <w:bCs/>
          <w:color w:val="0166B5"/>
          <w:kern w:val="0"/>
          <w:sz w:val="44"/>
          <w:szCs w:val="44"/>
          <w:lang w:val="en"/>
        </w:rPr>
        <w:t>保局</w:t>
      </w:r>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最高人民法院</w:t>
      </w:r>
      <w:r w:rsidRPr="00110CAE">
        <w:rPr>
          <w:rFonts w:ascii="Microsoft Yahei" w:eastAsia="宋体" w:hAnsi="Microsoft Yahei" w:cs="宋体"/>
          <w:b/>
          <w:bCs/>
          <w:color w:val="0166B5"/>
          <w:kern w:val="0"/>
          <w:sz w:val="44"/>
          <w:szCs w:val="44"/>
          <w:lang w:val="en"/>
        </w:rPr>
        <w:t xml:space="preserve"> </w:t>
      </w:r>
      <w:r w:rsidRPr="00110CAE">
        <w:rPr>
          <w:rFonts w:ascii="Microsoft Yahei" w:eastAsia="宋体" w:hAnsi="Microsoft Yahei" w:cs="宋体"/>
          <w:b/>
          <w:bCs/>
          <w:color w:val="0166B5"/>
          <w:kern w:val="0"/>
          <w:sz w:val="44"/>
          <w:szCs w:val="44"/>
          <w:lang w:val="en"/>
        </w:rPr>
        <w:t>全国总工会关于维护新就业形态劳动者劳动保障权益的指导意见</w:t>
      </w:r>
    </w:p>
    <w:p w:rsidR="00110CAE" w:rsidRDefault="00110CAE" w:rsidP="00110CAE">
      <w:pPr>
        <w:widowControl/>
        <w:shd w:val="clear" w:color="auto" w:fill="FFFFFF"/>
        <w:jc w:val="center"/>
        <w:rPr>
          <w:rFonts w:ascii="Microsoft Yahei" w:eastAsia="宋体" w:hAnsi="Microsoft Yahei" w:cs="宋体"/>
          <w:kern w:val="0"/>
          <w:sz w:val="24"/>
          <w:szCs w:val="24"/>
          <w:lang w:val="en"/>
        </w:rPr>
      </w:pPr>
      <w:r>
        <w:rPr>
          <w:rFonts w:ascii="Microsoft Yahei" w:hAnsi="Microsoft Yahei"/>
          <w:lang w:val="en"/>
        </w:rPr>
        <w:t>人社部发〔</w:t>
      </w:r>
      <w:r>
        <w:rPr>
          <w:rFonts w:ascii="Microsoft Yahei" w:hAnsi="Microsoft Yahei"/>
          <w:lang w:val="en"/>
        </w:rPr>
        <w:t>2021</w:t>
      </w:r>
      <w:r>
        <w:rPr>
          <w:rFonts w:ascii="Microsoft Yahei" w:hAnsi="Microsoft Yahei"/>
          <w:lang w:val="en"/>
        </w:rPr>
        <w:t>〕</w:t>
      </w:r>
      <w:r>
        <w:rPr>
          <w:rFonts w:ascii="Microsoft Yahei" w:hAnsi="Microsoft Yahei"/>
          <w:lang w:val="en"/>
        </w:rPr>
        <w:t>56</w:t>
      </w:r>
      <w:r>
        <w:rPr>
          <w:rFonts w:ascii="Microsoft Yahei" w:hAnsi="Microsoft Yahei"/>
          <w:lang w:val="en"/>
        </w:rPr>
        <w:t>号</w:t>
      </w:r>
      <w:bookmarkStart w:id="0" w:name="_GoBack"/>
      <w:bookmarkEnd w:id="0"/>
    </w:p>
    <w:p w:rsidR="00110CAE" w:rsidRPr="00110CAE" w:rsidRDefault="00110CAE" w:rsidP="00110CAE">
      <w:pPr>
        <w:widowControl/>
        <w:shd w:val="clear" w:color="auto" w:fill="FFFFFF"/>
        <w:jc w:val="center"/>
        <w:rPr>
          <w:rFonts w:ascii="Microsoft Yahei" w:eastAsia="宋体" w:hAnsi="Microsoft Yahei" w:cs="宋体" w:hint="eastAsia"/>
          <w:kern w:val="0"/>
          <w:sz w:val="24"/>
          <w:szCs w:val="24"/>
          <w:lang w:val="en"/>
        </w:rPr>
      </w:pPr>
    </w:p>
    <w:p w:rsidR="00110CAE" w:rsidRPr="00110CAE" w:rsidRDefault="00110CAE" w:rsidP="00110CAE">
      <w:pPr>
        <w:widowControl/>
        <w:shd w:val="clear" w:color="auto" w:fill="FFFFFF"/>
        <w:wordWrap w:val="0"/>
        <w:autoSpaceDE w:val="0"/>
        <w:snapToGrid w:val="0"/>
        <w:spacing w:line="360" w:lineRule="auto"/>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各省、自治区、直辖市人民政府、高级人民法院、总工会，新疆生产建设兵团，新疆维吾尔自治区高级人民法院生产建设兵团分院，新疆生产建设兵团总工会：</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近年来，平台经济迅速发展，创造了大量就业机会，依托互联网平台就业的网约配送员、</w:t>
      </w:r>
      <w:proofErr w:type="gramStart"/>
      <w:r w:rsidRPr="00110CAE">
        <w:rPr>
          <w:rFonts w:ascii="宋体" w:eastAsia="宋体" w:hAnsi="宋体" w:cs="Times New Roman" w:hint="eastAsia"/>
          <w:kern w:val="0"/>
          <w:sz w:val="24"/>
          <w:szCs w:val="24"/>
          <w:lang w:val="en"/>
        </w:rPr>
        <w:t>网约车驾驶员</w:t>
      </w:r>
      <w:proofErr w:type="gramEnd"/>
      <w:r w:rsidRPr="00110CAE">
        <w:rPr>
          <w:rFonts w:ascii="宋体" w:eastAsia="宋体" w:hAnsi="宋体" w:cs="Times New Roman" w:hint="eastAsia"/>
          <w:kern w:val="0"/>
          <w:sz w:val="24"/>
          <w:szCs w:val="24"/>
          <w:lang w:val="en"/>
        </w:rPr>
        <w:t>、货车司机、互联网营销师等新就业形态劳动者数量大幅增加，维护劳动者劳动保障权益面临新情况新问题。为深入贯彻落实党中央、国务院决策部署，支持和规范发展新就业形态，切实维护新就业形态劳动者劳动保障权益，促进平台经济规范健康持续发展，经国务院同意，现提出以下意见：</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黑体" w:eastAsia="黑体" w:hAnsi="黑体" w:cs="Times New Roman" w:hint="eastAsia"/>
          <w:kern w:val="0"/>
          <w:sz w:val="24"/>
          <w:szCs w:val="24"/>
          <w:lang w:val="en"/>
        </w:rPr>
        <w:t>一、规范用工，明确劳动者权益保障责任</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（一）指导和督促企业依法合</w:t>
      </w:r>
      <w:proofErr w:type="gramStart"/>
      <w:r w:rsidRPr="00110CAE">
        <w:rPr>
          <w:rFonts w:ascii="宋体" w:eastAsia="宋体" w:hAnsi="宋体" w:cs="Times New Roman" w:hint="eastAsia"/>
          <w:kern w:val="0"/>
          <w:sz w:val="24"/>
          <w:szCs w:val="24"/>
          <w:lang w:val="en"/>
        </w:rPr>
        <w:t>规</w:t>
      </w:r>
      <w:proofErr w:type="gramEnd"/>
      <w:r w:rsidRPr="00110CAE">
        <w:rPr>
          <w:rFonts w:ascii="宋体" w:eastAsia="宋体" w:hAnsi="宋体" w:cs="Times New Roman" w:hint="eastAsia"/>
          <w:kern w:val="0"/>
          <w:sz w:val="24"/>
          <w:szCs w:val="24"/>
          <w:lang w:val="en"/>
        </w:rPr>
        <w:t>用工，积极履行用工责任，稳定劳动者队伍。主动关心关爱劳动者，努力改善劳动条件，拓展职业发展空间，逐步提高劳动者权益保障水平。培育健康向上的企业文化，推动劳动者共享企业发展成果。</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二）符合确立劳动关系情形的，企业应当依法与劳动者订立劳动合同。不完全符合确立劳动关系情形但企业对劳动者进行劳动管理（以下简称不完全符合确立劳动关系情形）的，指导企业与劳动者订立书面协议，合理确定企业与劳动者的权利义务。个人依托平台自主开展经营活动、从事自由职业等，按照民事法律调整双方的权利义务。</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（三）平台企业采取劳务派遣等合作用工方式组织劳动者完成平台工作的，应选</w:t>
      </w:r>
      <w:proofErr w:type="gramStart"/>
      <w:r w:rsidRPr="00110CAE">
        <w:rPr>
          <w:rFonts w:ascii="宋体" w:eastAsia="宋体" w:hAnsi="宋体" w:cs="Times New Roman" w:hint="eastAsia"/>
          <w:kern w:val="0"/>
          <w:sz w:val="24"/>
          <w:szCs w:val="24"/>
          <w:lang w:val="en"/>
        </w:rPr>
        <w:t>择具备</w:t>
      </w:r>
      <w:proofErr w:type="gramEnd"/>
      <w:r w:rsidRPr="00110CAE">
        <w:rPr>
          <w:rFonts w:ascii="宋体" w:eastAsia="宋体" w:hAnsi="宋体" w:cs="Times New Roman" w:hint="eastAsia"/>
          <w:kern w:val="0"/>
          <w:sz w:val="24"/>
          <w:szCs w:val="24"/>
          <w:lang w:val="en"/>
        </w:rPr>
        <w:t>合法经营资质的企业，并对其保障劳动者权益情况进行监督。平台企业采用劳务派遣方式用工的，依法履行劳务派遣用工单位责任。对采取外包等其他合作用工方式，劳动者权益受到损害的，平台企业依法承担相应责任。</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黑体" w:eastAsia="黑体" w:hAnsi="黑体" w:cs="Times New Roman" w:hint="eastAsia"/>
          <w:kern w:val="0"/>
          <w:sz w:val="24"/>
          <w:szCs w:val="24"/>
          <w:lang w:val="en"/>
        </w:rPr>
        <w:t>二、健全制度，补齐劳动者权益保障短板</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lastRenderedPageBreak/>
        <w:t>（四）落实公平就业制度，消除就业歧视。企业招用劳动者不得违法设置性别、民族、年龄等歧视性条件，不得以缴纳保证金、押金或者其他名义向劳动者收取财物，不得违法限制劳动者在多平台就业。</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五）健全最低工资和支付保障制度，推动将不完全符合确立劳动关系情形的新就业形态劳动者纳入制度保障范围。督促企业向提供正常劳动的劳动者支付不低于当地最低工资标准的劳动报酬，按时足额支付，不得克扣或者无故拖欠。引导企业建立劳动报酬合理增长机制，逐步提高劳动报酬水平。</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（六）完善休息制度，推动行业明确劳动定员定额标准，科学确定劳动者工作量和劳动强度。督促企业按规定合理确定休息办法，在法定节假日支付高于正常工作时间劳动报酬的合理报酬。</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七）健全并落实劳动安全卫生责任制，严格执行国家劳动安全卫生保护标准。企业要牢固树立安全“红线”意识，不得制定损害劳动者安全健康的考核指标。要严格遵守安全生产相关法律法规，落实全员安全生产责任制，建立健全安全生产规章制度和操作规程，配备必要的劳动安全卫生设施和劳动防护用品，及时对劳动工具的安全和合</w:t>
      </w:r>
      <w:proofErr w:type="gramStart"/>
      <w:r w:rsidRPr="00110CAE">
        <w:rPr>
          <w:rFonts w:ascii="宋体" w:eastAsia="宋体" w:hAnsi="宋体" w:cs="Times New Roman" w:hint="eastAsia"/>
          <w:kern w:val="0"/>
          <w:sz w:val="24"/>
          <w:szCs w:val="24"/>
          <w:lang w:val="en"/>
        </w:rPr>
        <w:t>规</w:t>
      </w:r>
      <w:proofErr w:type="gramEnd"/>
      <w:r w:rsidRPr="00110CAE">
        <w:rPr>
          <w:rFonts w:ascii="宋体" w:eastAsia="宋体" w:hAnsi="宋体" w:cs="Times New Roman" w:hint="eastAsia"/>
          <w:kern w:val="0"/>
          <w:sz w:val="24"/>
          <w:szCs w:val="24"/>
          <w:lang w:val="en"/>
        </w:rPr>
        <w:t>状态进行检查，加强安全生产和职业卫生教育培训，重视劳动者身心健康，及时开展心理疏导。强化恶劣天气等特殊情形下的劳动保护，最大限度减少安全生产事故和职业病危害。</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八）完善基本养老保险、医疗保险相关政策，各地要放开灵活就业人员在就业地参加基本养老、基本医疗保险的户籍限制，个别超大型城市难以一步实现的，要结合本地实际，积极创造条件逐步放开。组织未参加职工基本养老、职工基本医疗保险的灵活就业人员，按规定参加城乡居民基本养老、城乡居民基本医疗保险，做到应保尽保。督促企业依法参加社会保险。企业要引导和支持不完全符合确立劳动关系情形的新就业形态劳动者根据自身情况参加相应的社会保险。</w:t>
      </w:r>
    </w:p>
    <w:p w:rsidR="00110CAE" w:rsidRPr="00110CAE" w:rsidRDefault="00110CAE" w:rsidP="00110CAE">
      <w:pPr>
        <w:widowControl/>
        <w:shd w:val="clear" w:color="auto" w:fill="FFFFFF"/>
        <w:wordWrap w:val="0"/>
        <w:autoSpaceDE w:val="0"/>
        <w:snapToGrid w:val="0"/>
        <w:spacing w:line="360" w:lineRule="auto"/>
        <w:jc w:val="left"/>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    （九）强化职业伤害保障，以出行、外卖、即时配送、同城货运等行业的平台企业为重点，组织开展平台灵活就业人员职业伤害保障试点，平台企业应当按规定参加。采取政府主导、信息化引领和社会力量承办相结合的方式，建立健全职业伤害保障管理服务规范和运行机制。鼓励平台企业通过购买人身意外、雇主责任等商业保险，提升平台灵活就业人员保障水平。</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（十）督促企业制定修订平台进入退出、订单分配、计件单价、抽成比例、报酬构成及支付、工作时间、奖惩等直接涉及劳动者权益的制度规则和平台算法，</w:t>
      </w:r>
      <w:r w:rsidRPr="00110CAE">
        <w:rPr>
          <w:rFonts w:ascii="宋体" w:eastAsia="宋体" w:hAnsi="宋体" w:cs="Times New Roman" w:hint="eastAsia"/>
          <w:kern w:val="0"/>
          <w:sz w:val="24"/>
          <w:szCs w:val="24"/>
          <w:lang w:val="en"/>
        </w:rPr>
        <w:lastRenderedPageBreak/>
        <w:t>充分听取工会或劳动者代表的意见建议，将结果公示并告知劳动者。工会或劳动者代表提出协商要求的，企业应当积极响应，并提供必要的信息和资料。指导企业建立健全劳动者申诉机制，保障劳动者的申诉得到及时回应和客观公正处理。</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黑体" w:eastAsia="黑体" w:hAnsi="黑体" w:cs="Times New Roman" w:hint="eastAsia"/>
          <w:kern w:val="0"/>
          <w:sz w:val="24"/>
          <w:szCs w:val="24"/>
          <w:lang w:val="en"/>
        </w:rPr>
        <w:t>三、提升效能，优化劳动者权益保障服务</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（十一）创新方式方法，积极为各类新就业形态劳动者提供个性化职业介绍、职业指导、创业培训等服务，及时发布职业</w:t>
      </w:r>
      <w:proofErr w:type="gramStart"/>
      <w:r w:rsidRPr="00110CAE">
        <w:rPr>
          <w:rFonts w:ascii="宋体" w:eastAsia="宋体" w:hAnsi="宋体" w:cs="Times New Roman" w:hint="eastAsia"/>
          <w:kern w:val="0"/>
          <w:sz w:val="24"/>
          <w:szCs w:val="24"/>
          <w:lang w:val="en"/>
        </w:rPr>
        <w:t>薪</w:t>
      </w:r>
      <w:proofErr w:type="gramEnd"/>
      <w:r w:rsidRPr="00110CAE">
        <w:rPr>
          <w:rFonts w:ascii="宋体" w:eastAsia="宋体" w:hAnsi="宋体" w:cs="Times New Roman" w:hint="eastAsia"/>
          <w:kern w:val="0"/>
          <w:sz w:val="24"/>
          <w:szCs w:val="24"/>
          <w:lang w:val="en"/>
        </w:rPr>
        <w:t>酬和行业人工成本信息等，为企业和劳动者提供便捷化的劳动保障、税收、市场监管等政策咨询服务，便利劳动者求职就业和企业招工用工。</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（十二）优化社会保险经办，探索适合新就业形态的社会保险经办服务模式，在参保缴费、权益查询、待遇领取和结算等方面提供更加便捷的服务，做好社会保险关系转移接续工作，提高社会保险经办服务水平，</w:t>
      </w:r>
      <w:proofErr w:type="gramStart"/>
      <w:r w:rsidRPr="00110CAE">
        <w:rPr>
          <w:rFonts w:ascii="宋体" w:eastAsia="宋体" w:hAnsi="宋体" w:cs="Times New Roman" w:hint="eastAsia"/>
          <w:kern w:val="0"/>
          <w:sz w:val="24"/>
          <w:szCs w:val="24"/>
          <w:lang w:val="en"/>
        </w:rPr>
        <w:t>更好保障参</w:t>
      </w:r>
      <w:proofErr w:type="gramEnd"/>
      <w:r w:rsidRPr="00110CAE">
        <w:rPr>
          <w:rFonts w:ascii="宋体" w:eastAsia="宋体" w:hAnsi="宋体" w:cs="Times New Roman" w:hint="eastAsia"/>
          <w:kern w:val="0"/>
          <w:sz w:val="24"/>
          <w:szCs w:val="24"/>
          <w:lang w:val="en"/>
        </w:rPr>
        <w:t>保人员公平享受各项社会保险待遇。</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（十三）建立适合新就业形态劳动者的职业技能培训模式，保障其平等享有培训的权利。对各类新就业形态劳动者在就业地参加职业技能培训的，优化职业技能培训补贴申领、发放流程，加大培训补贴资金</w:t>
      </w:r>
      <w:proofErr w:type="gramStart"/>
      <w:r w:rsidRPr="00110CAE">
        <w:rPr>
          <w:rFonts w:ascii="宋体" w:eastAsia="宋体" w:hAnsi="宋体" w:cs="Times New Roman" w:hint="eastAsia"/>
          <w:kern w:val="0"/>
          <w:sz w:val="24"/>
          <w:szCs w:val="24"/>
          <w:lang w:val="en"/>
        </w:rPr>
        <w:t>直补企业</w:t>
      </w:r>
      <w:proofErr w:type="gramEnd"/>
      <w:r w:rsidRPr="00110CAE">
        <w:rPr>
          <w:rFonts w:ascii="宋体" w:eastAsia="宋体" w:hAnsi="宋体" w:cs="Times New Roman" w:hint="eastAsia"/>
          <w:kern w:val="0"/>
          <w:sz w:val="24"/>
          <w:szCs w:val="24"/>
          <w:lang w:val="en"/>
        </w:rPr>
        <w:t>工作力度，符合条件的按规定给予职业技能培训补贴。健全职业技能等级制度，支持符合条件的企业按规定开展职业技能等级认定。完善职称评审政策，畅通新就业形态劳动者职称申报评价渠道。</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（十四）加快城市综合服务网点建设，推动在新就业形态劳动者集中居住区、商业区设置临时休息场所，解决停车、充电、饮水、如厕等难题，为新就业形态劳动者提供工作生活便利。</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（十五）保障符合条件的新就业形态劳动者子女在常住地平等接受义务教育的权利。推动公共文体设施向劳动者免费或低收费开放，丰富公共文化产品和服务供给。</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黑体" w:eastAsia="黑体" w:hAnsi="黑体" w:cs="Times New Roman" w:hint="eastAsia"/>
          <w:kern w:val="0"/>
          <w:sz w:val="24"/>
          <w:szCs w:val="24"/>
          <w:lang w:val="en"/>
        </w:rPr>
        <w:t>四、齐抓共管，完善劳动者权益保障工作机制</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（十六）</w:t>
      </w:r>
      <w:r w:rsidRPr="00110CAE">
        <w:rPr>
          <w:rFonts w:ascii="宋体" w:eastAsia="宋体" w:hAnsi="宋体" w:cs="Times New Roman" w:hint="eastAsia"/>
          <w:color w:val="000000"/>
          <w:kern w:val="0"/>
          <w:sz w:val="24"/>
          <w:szCs w:val="24"/>
          <w:lang w:val="en"/>
        </w:rPr>
        <w:t>保障新就业形态劳动者权益是稳定就业、改善民生、加强社会治理的重要内容。</w:t>
      </w:r>
      <w:r w:rsidRPr="00110CAE">
        <w:rPr>
          <w:rFonts w:ascii="宋体" w:eastAsia="宋体" w:hAnsi="宋体" w:cs="Times New Roman" w:hint="eastAsia"/>
          <w:kern w:val="0"/>
          <w:sz w:val="24"/>
          <w:szCs w:val="24"/>
          <w:lang w:val="en"/>
        </w:rPr>
        <w:t>各地区</w:t>
      </w:r>
      <w:r w:rsidRPr="00110CAE">
        <w:rPr>
          <w:rFonts w:ascii="宋体" w:eastAsia="宋体" w:hAnsi="宋体" w:cs="Times New Roman" w:hint="eastAsia"/>
          <w:color w:val="000000"/>
          <w:kern w:val="0"/>
          <w:sz w:val="24"/>
          <w:szCs w:val="24"/>
          <w:lang w:val="en"/>
        </w:rPr>
        <w:t>要加强组织领导，强化责任落实，切实做好新就业形态劳动者</w:t>
      </w:r>
      <w:r w:rsidRPr="00110CAE">
        <w:rPr>
          <w:rFonts w:ascii="宋体" w:eastAsia="宋体" w:hAnsi="宋体" w:cs="Times New Roman" w:hint="eastAsia"/>
          <w:kern w:val="0"/>
          <w:sz w:val="24"/>
          <w:szCs w:val="24"/>
          <w:lang w:val="en"/>
        </w:rPr>
        <w:t>权益保障各项工作。人力资源社会保障部、国家发展改革委、交通运输部、应急部、市场监管总局、国家</w:t>
      </w:r>
      <w:proofErr w:type="gramStart"/>
      <w:r w:rsidRPr="00110CAE">
        <w:rPr>
          <w:rFonts w:ascii="宋体" w:eastAsia="宋体" w:hAnsi="宋体" w:cs="Times New Roman" w:hint="eastAsia"/>
          <w:kern w:val="0"/>
          <w:sz w:val="24"/>
          <w:szCs w:val="24"/>
          <w:lang w:val="en"/>
        </w:rPr>
        <w:t>医</w:t>
      </w:r>
      <w:proofErr w:type="gramEnd"/>
      <w:r w:rsidRPr="00110CAE">
        <w:rPr>
          <w:rFonts w:ascii="宋体" w:eastAsia="宋体" w:hAnsi="宋体" w:cs="Times New Roman" w:hint="eastAsia"/>
          <w:kern w:val="0"/>
          <w:sz w:val="24"/>
          <w:szCs w:val="24"/>
          <w:lang w:val="en"/>
        </w:rPr>
        <w:t>保局、最高人民法院、全国总工会等部门和单位要认真履行职责，强化工作协同，将保障劳动者权益纳入数字经济协同治理体系，</w:t>
      </w:r>
      <w:r w:rsidRPr="00110CAE">
        <w:rPr>
          <w:rFonts w:ascii="宋体" w:eastAsia="宋体" w:hAnsi="宋体" w:cs="Times New Roman" w:hint="eastAsia"/>
          <w:kern w:val="0"/>
          <w:sz w:val="24"/>
          <w:szCs w:val="24"/>
          <w:lang w:val="en"/>
        </w:rPr>
        <w:lastRenderedPageBreak/>
        <w:t>建立平台企业用工情况报告制度，健全劳动者权益保障联合激励惩戒机制，完善相关政策措施和司法解释。    </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七）各级工会组织要加强组织和工作有效覆盖，拓宽维权和服务范围，积极吸纳新就业形态劳动者加入工会。加强对劳动者的思想政治引领，引导劳动者理性合法维权。监督企业履行用工责任，维护好劳动者权益。积极与行业协会、头部企业或企业代表组织开展协商，</w:t>
      </w:r>
      <w:r w:rsidRPr="00110CAE">
        <w:rPr>
          <w:rFonts w:ascii="宋体" w:eastAsia="宋体" w:hAnsi="宋体" w:cs="Times New Roman" w:hint="eastAsia"/>
          <w:color w:val="000000"/>
          <w:kern w:val="0"/>
          <w:sz w:val="24"/>
          <w:szCs w:val="24"/>
          <w:lang w:val="en"/>
        </w:rPr>
        <w:t>签订行业集体合同或协议，</w:t>
      </w:r>
      <w:r w:rsidRPr="00110CAE">
        <w:rPr>
          <w:rFonts w:ascii="宋体" w:eastAsia="宋体" w:hAnsi="宋体" w:cs="Times New Roman" w:hint="eastAsia"/>
          <w:kern w:val="0"/>
          <w:sz w:val="24"/>
          <w:szCs w:val="24"/>
          <w:lang w:val="en"/>
        </w:rPr>
        <w:t>推动制定行业劳动标准。</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八）各级法院和劳动争议调解仲裁机构要加强劳动争议办案指导，畅通裁审衔接，根据用工事实认定企业和劳动者的关系，依法依规处理新就业形态劳动者劳动保障权益案件。各类调解组织、法律援助机构及其他专业化社会组织要依法为新就业形态劳动者提供更加便捷、优质高效的纠纷调解、法律咨询、法律援助等服务。</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十九）各级人力资源社会保障行政部门要加大劳动保障监察力度，督促企业落实新就业形态劳动者权益保障责任，加强治理拖欠劳动报酬、违法超时加班等突出问题，依法维护劳动者权益。各级交通运输、应急、市场监管等职能部门和行业主管部门要规范企业经营行为，加大监管力度，及时约谈、警示、查处侵害劳动者权益的企业。</w:t>
      </w:r>
    </w:p>
    <w:p w:rsidR="00110CAE" w:rsidRPr="00110CAE" w:rsidRDefault="00110CAE" w:rsidP="00110CAE">
      <w:pPr>
        <w:widowControl/>
        <w:shd w:val="clear" w:color="auto" w:fill="FFFFFF"/>
        <w:wordWrap w:val="0"/>
        <w:autoSpaceDE w:val="0"/>
        <w:snapToGrid w:val="0"/>
        <w:spacing w:line="360" w:lineRule="auto"/>
        <w:ind w:firstLine="480"/>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各地区各有关部门要认真落实本意见要求，出台具体实施办法，加强政策宣传，积极引导社会舆论，增强新就业形态劳动者职业荣誉感，努力营造良好环境，确保各项劳动保障权益落到实处。</w:t>
      </w:r>
    </w:p>
    <w:p w:rsidR="00110CAE" w:rsidRPr="00110CAE" w:rsidRDefault="00110CAE" w:rsidP="00110CAE">
      <w:pPr>
        <w:widowControl/>
        <w:shd w:val="clear" w:color="auto" w:fill="FFFFFF"/>
        <w:wordWrap w:val="0"/>
        <w:snapToGrid w:val="0"/>
        <w:rPr>
          <w:rFonts w:ascii="Times New Roman" w:eastAsia="宋体" w:hAnsi="Times New Roman" w:cs="Times New Roman"/>
          <w:kern w:val="0"/>
          <w:sz w:val="32"/>
          <w:szCs w:val="32"/>
          <w:lang w:val="en"/>
        </w:rPr>
      </w:pPr>
      <w:r w:rsidRPr="00110CAE">
        <w:rPr>
          <w:rFonts w:ascii="Times New Roman" w:eastAsia="宋体" w:hAnsi="Times New Roman" w:cs="Times New Roman"/>
          <w:kern w:val="0"/>
          <w:sz w:val="32"/>
          <w:szCs w:val="32"/>
          <w:lang w:val="en"/>
        </w:rPr>
        <w:t> </w:t>
      </w:r>
    </w:p>
    <w:p w:rsidR="00110CAE" w:rsidRPr="00110CAE" w:rsidRDefault="00110CAE" w:rsidP="00110CAE">
      <w:pPr>
        <w:widowControl/>
        <w:shd w:val="clear" w:color="auto" w:fill="FFFFFF"/>
        <w:wordWrap w:val="0"/>
        <w:autoSpaceDE w:val="0"/>
        <w:snapToGrid w:val="0"/>
        <w:spacing w:line="360" w:lineRule="auto"/>
        <w:jc w:val="right"/>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人力资源社会保障部  国家发展改革委</w:t>
      </w:r>
    </w:p>
    <w:p w:rsidR="00110CAE" w:rsidRPr="00110CAE" w:rsidRDefault="00110CAE" w:rsidP="00110CAE">
      <w:pPr>
        <w:widowControl/>
        <w:shd w:val="clear" w:color="auto" w:fill="FFFFFF"/>
        <w:wordWrap w:val="0"/>
        <w:autoSpaceDE w:val="0"/>
        <w:snapToGrid w:val="0"/>
        <w:spacing w:line="360" w:lineRule="auto"/>
        <w:jc w:val="right"/>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交通运输部  应急部  市场监管总局</w:t>
      </w:r>
    </w:p>
    <w:p w:rsidR="00110CAE" w:rsidRPr="00110CAE" w:rsidRDefault="00110CAE" w:rsidP="00110CAE">
      <w:pPr>
        <w:widowControl/>
        <w:shd w:val="clear" w:color="auto" w:fill="FFFFFF"/>
        <w:wordWrap w:val="0"/>
        <w:autoSpaceDE w:val="0"/>
        <w:snapToGrid w:val="0"/>
        <w:spacing w:line="360" w:lineRule="auto"/>
        <w:jc w:val="right"/>
        <w:rPr>
          <w:rFonts w:ascii="Times New Roman" w:eastAsia="宋体" w:hAnsi="Times New Roman" w:cs="Times New Roman"/>
          <w:kern w:val="0"/>
          <w:szCs w:val="21"/>
          <w:lang w:val="en"/>
        </w:rPr>
      </w:pPr>
      <w:r w:rsidRPr="00110CAE">
        <w:rPr>
          <w:rFonts w:ascii="宋体" w:eastAsia="宋体" w:hAnsi="宋体" w:cs="Times New Roman" w:hint="eastAsia"/>
          <w:kern w:val="0"/>
          <w:sz w:val="24"/>
          <w:szCs w:val="24"/>
          <w:lang w:val="en"/>
        </w:rPr>
        <w:t>国家</w:t>
      </w:r>
      <w:proofErr w:type="gramStart"/>
      <w:r w:rsidRPr="00110CAE">
        <w:rPr>
          <w:rFonts w:ascii="宋体" w:eastAsia="宋体" w:hAnsi="宋体" w:cs="Times New Roman" w:hint="eastAsia"/>
          <w:kern w:val="0"/>
          <w:sz w:val="24"/>
          <w:szCs w:val="24"/>
          <w:lang w:val="en"/>
        </w:rPr>
        <w:t>医</w:t>
      </w:r>
      <w:proofErr w:type="gramEnd"/>
      <w:r w:rsidRPr="00110CAE">
        <w:rPr>
          <w:rFonts w:ascii="宋体" w:eastAsia="宋体" w:hAnsi="宋体" w:cs="Times New Roman" w:hint="eastAsia"/>
          <w:kern w:val="0"/>
          <w:sz w:val="24"/>
          <w:szCs w:val="24"/>
          <w:lang w:val="en"/>
        </w:rPr>
        <w:t>保局  最高人民法院  全国总工会</w:t>
      </w:r>
    </w:p>
    <w:p w:rsidR="003977C8" w:rsidRPr="00110CAE" w:rsidRDefault="00110CAE" w:rsidP="00110CAE">
      <w:pPr>
        <w:widowControl/>
        <w:shd w:val="clear" w:color="auto" w:fill="FFFFFF"/>
        <w:wordWrap w:val="0"/>
        <w:autoSpaceDE w:val="0"/>
        <w:snapToGrid w:val="0"/>
        <w:spacing w:line="360" w:lineRule="auto"/>
        <w:ind w:left="1680"/>
        <w:jc w:val="right"/>
        <w:rPr>
          <w:rFonts w:ascii="Times New Roman" w:eastAsia="宋体" w:hAnsi="Times New Roman" w:cs="Times New Roman" w:hint="eastAsia"/>
          <w:kern w:val="0"/>
          <w:szCs w:val="21"/>
          <w:lang w:val="en"/>
        </w:rPr>
      </w:pPr>
      <w:r w:rsidRPr="00110CAE">
        <w:rPr>
          <w:rFonts w:ascii="宋体" w:eastAsia="宋体" w:hAnsi="宋体" w:cs="Times New Roman" w:hint="eastAsia"/>
          <w:kern w:val="0"/>
          <w:sz w:val="24"/>
          <w:szCs w:val="24"/>
          <w:lang w:val="en"/>
        </w:rPr>
        <w:t>2021年7月16日</w:t>
      </w:r>
    </w:p>
    <w:sectPr w:rsidR="003977C8" w:rsidRPr="0011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AE"/>
    <w:rsid w:val="00110CAE"/>
    <w:rsid w:val="0039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F3301-CF62-4624-8641-551D4148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10CAE"/>
    <w:pPr>
      <w:widowControl/>
    </w:pPr>
    <w:rPr>
      <w:rFonts w:ascii="Times New Roman" w:eastAsia="宋体" w:hAnsi="Times New Roman" w:cs="Times New Roman"/>
      <w:kern w:val="0"/>
      <w:szCs w:val="21"/>
    </w:rPr>
  </w:style>
  <w:style w:type="paragraph" w:customStyle="1" w:styleId="p16">
    <w:name w:val="p16"/>
    <w:basedOn w:val="a"/>
    <w:rsid w:val="00110CAE"/>
    <w:pPr>
      <w:widowControl/>
      <w:ind w:left="1680"/>
    </w:pPr>
    <w:rPr>
      <w:rFonts w:ascii="Times New Roman" w:eastAsia="宋体" w:hAnsi="Times New Roman" w:cs="Times New Roman"/>
      <w:kern w:val="0"/>
      <w:szCs w:val="21"/>
    </w:rPr>
  </w:style>
  <w:style w:type="paragraph" w:customStyle="1" w:styleId="p17">
    <w:name w:val="p17"/>
    <w:basedOn w:val="a"/>
    <w:rsid w:val="00110CAE"/>
    <w:pPr>
      <w:widowControl/>
    </w:pPr>
    <w:rPr>
      <w:rFonts w:ascii="Times New Roman" w:eastAsia="宋体"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60834">
      <w:bodyDiv w:val="1"/>
      <w:marLeft w:val="0"/>
      <w:marRight w:val="0"/>
      <w:marTop w:val="0"/>
      <w:marBottom w:val="0"/>
      <w:divBdr>
        <w:top w:val="none" w:sz="0" w:space="0" w:color="auto"/>
        <w:left w:val="none" w:sz="0" w:space="0" w:color="auto"/>
        <w:bottom w:val="none" w:sz="0" w:space="0" w:color="auto"/>
        <w:right w:val="none" w:sz="0" w:space="0" w:color="auto"/>
      </w:divBdr>
      <w:divsChild>
        <w:div w:id="1278174974">
          <w:marLeft w:val="0"/>
          <w:marRight w:val="0"/>
          <w:marTop w:val="0"/>
          <w:marBottom w:val="0"/>
          <w:divBdr>
            <w:top w:val="none" w:sz="0" w:space="0" w:color="auto"/>
            <w:left w:val="none" w:sz="0" w:space="0" w:color="auto"/>
            <w:bottom w:val="none" w:sz="0" w:space="0" w:color="auto"/>
            <w:right w:val="none" w:sz="0" w:space="0" w:color="auto"/>
          </w:divBdr>
          <w:divsChild>
            <w:div w:id="700591643">
              <w:marLeft w:val="0"/>
              <w:marRight w:val="0"/>
              <w:marTop w:val="0"/>
              <w:marBottom w:val="0"/>
              <w:divBdr>
                <w:top w:val="none" w:sz="0" w:space="0" w:color="auto"/>
                <w:left w:val="none" w:sz="0" w:space="0" w:color="auto"/>
                <w:bottom w:val="none" w:sz="0" w:space="0" w:color="auto"/>
                <w:right w:val="none" w:sz="0" w:space="0" w:color="auto"/>
              </w:divBdr>
              <w:divsChild>
                <w:div w:id="1877355904">
                  <w:marLeft w:val="0"/>
                  <w:marRight w:val="0"/>
                  <w:marTop w:val="0"/>
                  <w:marBottom w:val="450"/>
                  <w:divBdr>
                    <w:top w:val="none" w:sz="0" w:space="0" w:color="auto"/>
                    <w:left w:val="none" w:sz="0" w:space="0" w:color="auto"/>
                    <w:bottom w:val="single" w:sz="12" w:space="26" w:color="F2F2F2"/>
                    <w:right w:val="none" w:sz="0" w:space="0" w:color="auto"/>
                  </w:divBdr>
                </w:div>
                <w:div w:id="767770403">
                  <w:marLeft w:val="0"/>
                  <w:marRight w:val="0"/>
                  <w:marTop w:val="0"/>
                  <w:marBottom w:val="0"/>
                  <w:divBdr>
                    <w:top w:val="none" w:sz="0" w:space="0" w:color="auto"/>
                    <w:left w:val="none" w:sz="0" w:space="0" w:color="auto"/>
                    <w:bottom w:val="none" w:sz="0" w:space="0" w:color="auto"/>
                    <w:right w:val="none" w:sz="0" w:space="0" w:color="auto"/>
                  </w:divBdr>
                  <w:divsChild>
                    <w:div w:id="4127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2790</Characters>
  <Application>Microsoft Office Word</Application>
  <DocSecurity>0</DocSecurity>
  <Lines>23</Lines>
  <Paragraphs>6</Paragraphs>
  <ScaleCrop>false</ScaleCrop>
  <Company>微软公司</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2021-07-22T10:14:00Z</dcterms:created>
  <dcterms:modified xsi:type="dcterms:W3CDTF">2021-07-22T10:18:00Z</dcterms:modified>
</cp:coreProperties>
</file>