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C456" w14:textId="77777777" w:rsidR="00405640" w:rsidRPr="00405640" w:rsidRDefault="00405640" w:rsidP="00405640">
      <w:pPr>
        <w:autoSpaceDN w:val="0"/>
        <w:jc w:val="center"/>
        <w:rPr>
          <w:rFonts w:ascii="宋体" w:hAnsi="宋体"/>
          <w:sz w:val="44"/>
          <w:szCs w:val="44"/>
        </w:rPr>
      </w:pPr>
      <w:r w:rsidRPr="00405640">
        <w:rPr>
          <w:rFonts w:ascii="宋体" w:hAnsi="宋体" w:hint="eastAsia"/>
          <w:sz w:val="44"/>
          <w:szCs w:val="44"/>
        </w:rPr>
        <w:t>人力资源社会保障部 财政部</w:t>
      </w:r>
    </w:p>
    <w:p w14:paraId="02838C32" w14:textId="3E854E33" w:rsidR="00405640" w:rsidRPr="00405640" w:rsidRDefault="00405640" w:rsidP="00405640">
      <w:pPr>
        <w:autoSpaceDN w:val="0"/>
        <w:jc w:val="center"/>
        <w:rPr>
          <w:rFonts w:ascii="宋体" w:hAnsi="宋体" w:hint="eastAsia"/>
          <w:sz w:val="44"/>
          <w:szCs w:val="44"/>
        </w:rPr>
      </w:pPr>
      <w:r w:rsidRPr="00405640">
        <w:rPr>
          <w:rFonts w:ascii="宋体" w:hAnsi="宋体" w:hint="eastAsia"/>
          <w:sz w:val="44"/>
          <w:szCs w:val="44"/>
        </w:rPr>
        <w:t>关于调整工伤保险费率政策的通知</w:t>
      </w:r>
    </w:p>
    <w:p w14:paraId="0BA6179C" w14:textId="5CF3F9A8" w:rsidR="00405640" w:rsidRPr="005B4953" w:rsidRDefault="00405640" w:rsidP="00405640">
      <w:pPr>
        <w:autoSpaceDN w:val="0"/>
        <w:spacing w:line="600" w:lineRule="exact"/>
        <w:jc w:val="center"/>
        <w:rPr>
          <w:rFonts w:ascii="仿宋" w:eastAsia="仿宋" w:hAnsi="仿宋"/>
          <w:sz w:val="28"/>
          <w:szCs w:val="28"/>
        </w:rPr>
      </w:pPr>
      <w:proofErr w:type="gramStart"/>
      <w:r w:rsidRPr="005B4953">
        <w:rPr>
          <w:rFonts w:ascii="仿宋" w:eastAsia="仿宋" w:hAnsi="仿宋" w:hint="eastAsia"/>
          <w:sz w:val="28"/>
          <w:szCs w:val="28"/>
        </w:rPr>
        <w:t>人社部</w:t>
      </w:r>
      <w:proofErr w:type="gramEnd"/>
      <w:r w:rsidRPr="005B4953">
        <w:rPr>
          <w:rFonts w:ascii="仿宋" w:eastAsia="仿宋" w:hAnsi="仿宋" w:hint="eastAsia"/>
          <w:sz w:val="28"/>
          <w:szCs w:val="28"/>
        </w:rPr>
        <w:t>发〔2015〕71号</w:t>
      </w:r>
    </w:p>
    <w:p w14:paraId="7DE46D0C" w14:textId="77777777" w:rsidR="00405640" w:rsidRPr="005B4953" w:rsidRDefault="00405640" w:rsidP="00405640">
      <w:pPr>
        <w:autoSpaceDN w:val="0"/>
        <w:spacing w:line="600" w:lineRule="exact"/>
        <w:rPr>
          <w:rFonts w:ascii="仿宋" w:eastAsia="仿宋" w:hAnsi="仿宋" w:hint="eastAsia"/>
          <w:color w:val="000000"/>
          <w:sz w:val="30"/>
          <w:szCs w:val="30"/>
        </w:rPr>
      </w:pPr>
    </w:p>
    <w:p w14:paraId="43878EE5" w14:textId="77777777" w:rsidR="00405640" w:rsidRPr="005B4953" w:rsidRDefault="00405640" w:rsidP="00405640">
      <w:pPr>
        <w:autoSpaceDN w:val="0"/>
        <w:spacing w:line="600" w:lineRule="exact"/>
        <w:rPr>
          <w:rFonts w:ascii="仿宋" w:eastAsia="仿宋" w:hAnsi="仿宋"/>
          <w:sz w:val="30"/>
          <w:szCs w:val="30"/>
        </w:rPr>
      </w:pPr>
      <w:r w:rsidRPr="005B4953">
        <w:rPr>
          <w:rFonts w:ascii="仿宋" w:eastAsia="仿宋" w:hAnsi="仿宋" w:hint="eastAsia"/>
          <w:color w:val="000000"/>
          <w:sz w:val="30"/>
          <w:szCs w:val="30"/>
        </w:rPr>
        <w:t>各省、自治区、直辖市人力资源社会保障厅（局）、财政厅（局），新疆生产建设兵团人力资源社会保障局、财务局：</w:t>
      </w:r>
    </w:p>
    <w:p w14:paraId="11B879A6"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按照党的十八届三中全会提出的“适时适当降低社会保险费率”的精神，为更好贯彻社会保险法、《工伤保险条例》，使工伤保险费率政策更加科学、合理，适应经济社会发展的需要，经国务院批准，自2015年10月1日起，调整现行工伤保险费率政策。现将有关事项通知如下：</w:t>
      </w:r>
    </w:p>
    <w:p w14:paraId="28FF006F"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一、关于行业工伤风险类别划分</w:t>
      </w:r>
    </w:p>
    <w:p w14:paraId="2B76F987"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按照《国民经济行业分类》（GB/T 4754—2011）对行业的划分，根据不同行业的工伤风险程度，由低到高，依次将行业工伤风险类别划分为一类至八类。</w:t>
      </w:r>
    </w:p>
    <w:p w14:paraId="4FB234F2"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二、关于行业差别费率及其档次确定</w:t>
      </w:r>
    </w:p>
    <w:p w14:paraId="6FD7077D"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不同工伤风险类别的行业执行不同的工伤保险行业基准费率。各行业工伤风险类别对应的全国工伤保险行业基准费率为，一类至八类分别控制在该行业用人单位职工工资总额的0.2%、0.4%、0.7%、0.9%、1.1%、1.3%、1.6%、1.9%左右。</w:t>
      </w:r>
    </w:p>
    <w:p w14:paraId="64EE0FE7"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通过费率浮动的办法确定每个行业内的费率档次。一类行业分为三个档次，即在基准费率的基础上，可向上浮动至120%、150%，二类至八类行业分为五个档次，即在基准费率的基础上，可分别</w:t>
      </w:r>
      <w:r w:rsidRPr="005B4953">
        <w:rPr>
          <w:rFonts w:ascii="仿宋" w:eastAsia="仿宋" w:hAnsi="仿宋" w:hint="eastAsia"/>
          <w:color w:val="000000"/>
          <w:sz w:val="30"/>
          <w:szCs w:val="30"/>
        </w:rPr>
        <w:lastRenderedPageBreak/>
        <w:t>向上浮动至120%、150%或向下浮动至80%、50%。</w:t>
      </w:r>
    </w:p>
    <w:p w14:paraId="1C892BC4"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各统筹地区人力资源社会保障部门要会同财政部门，按照“以支定收、收支平衡”的原则，合理确定本地区工伤保险行业基准费率具体标准，并征求工会组织、用人单位代表的意见，报统筹地区人民政府批准后实施。基准费率的具体标准可根据统筹地区经济产业结构变动、工伤保险费使用等情况适时调整。</w:t>
      </w:r>
    </w:p>
    <w:p w14:paraId="0CD6FC46"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三、关于单位费率的确定与浮动</w:t>
      </w:r>
    </w:p>
    <w:p w14:paraId="3E34DC97"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统筹地区社会保险经办机构根据用人单位工伤保险费使用、工伤发生率、职业病危害程度等因素，确定其工伤保险费率，并可依据上述因素变化情况，每一至三年确定其在所属行业不同费率档次间是否浮动。对符合浮动条件的用人单位，每次可上下浮动一档或两档。统筹地区工伤保险最低费率不低于本地区一类风险行业基准费率。费率浮动的具体办法由统筹地区人力资源社会保障部门商财政部门制定，并征求工会组织、用人单位代表的意见。</w:t>
      </w:r>
    </w:p>
    <w:p w14:paraId="67A4CF63"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四、关于费率报备制度</w:t>
      </w:r>
    </w:p>
    <w:p w14:paraId="13260367" w14:textId="77777777" w:rsidR="00405640" w:rsidRPr="005B4953" w:rsidRDefault="00405640" w:rsidP="00405640">
      <w:pPr>
        <w:autoSpaceDN w:val="0"/>
        <w:spacing w:line="600" w:lineRule="exact"/>
        <w:ind w:firstLineChars="200" w:firstLine="600"/>
        <w:rPr>
          <w:rFonts w:ascii="仿宋" w:eastAsia="仿宋" w:hAnsi="仿宋"/>
          <w:sz w:val="30"/>
          <w:szCs w:val="30"/>
        </w:rPr>
      </w:pPr>
      <w:r w:rsidRPr="005B4953">
        <w:rPr>
          <w:rFonts w:ascii="仿宋" w:eastAsia="仿宋" w:hAnsi="仿宋" w:hint="eastAsia"/>
          <w:color w:val="000000"/>
          <w:sz w:val="30"/>
          <w:szCs w:val="30"/>
        </w:rPr>
        <w:t>各统筹地区确定的工伤保险行业基准费率具体标准、费率浮动具体办法，应报省级人力资源社会保障部门和财政部门备案并接受指导。省级人力资源社会保障部门、财政部门应每年将各统筹地区工伤保险行业基准费率标准确定和变化以及浮动费率实施情况汇总报人力资源社会保障部、财政部。</w:t>
      </w:r>
    </w:p>
    <w:p w14:paraId="7C3D0818" w14:textId="1F9D1FBE" w:rsidR="00405640" w:rsidRPr="005B4953" w:rsidRDefault="00405640" w:rsidP="00405640">
      <w:pPr>
        <w:autoSpaceDN w:val="0"/>
        <w:spacing w:line="600" w:lineRule="exact"/>
        <w:ind w:firstLineChars="1800" w:firstLine="5400"/>
        <w:rPr>
          <w:rFonts w:ascii="仿宋" w:eastAsia="仿宋" w:hAnsi="仿宋"/>
          <w:color w:val="000000"/>
          <w:sz w:val="30"/>
          <w:szCs w:val="30"/>
        </w:rPr>
      </w:pPr>
      <w:r w:rsidRPr="005B4953">
        <w:rPr>
          <w:rFonts w:ascii="仿宋" w:eastAsia="仿宋" w:hAnsi="仿宋" w:hint="eastAsia"/>
          <w:color w:val="000000"/>
          <w:sz w:val="30"/>
          <w:szCs w:val="30"/>
        </w:rPr>
        <w:t>人力资源社会保障部</w:t>
      </w:r>
    </w:p>
    <w:p w14:paraId="0D977CBB" w14:textId="2A9D7EE9" w:rsidR="00405640" w:rsidRPr="005B4953" w:rsidRDefault="00405640" w:rsidP="00405640">
      <w:pPr>
        <w:autoSpaceDN w:val="0"/>
        <w:spacing w:line="600" w:lineRule="exact"/>
        <w:ind w:firstLineChars="2000" w:firstLine="6000"/>
        <w:rPr>
          <w:rFonts w:ascii="仿宋" w:eastAsia="仿宋" w:hAnsi="仿宋" w:hint="eastAsia"/>
          <w:color w:val="000000"/>
          <w:sz w:val="30"/>
          <w:szCs w:val="30"/>
        </w:rPr>
      </w:pPr>
      <w:r w:rsidRPr="005B4953">
        <w:rPr>
          <w:rFonts w:ascii="仿宋" w:eastAsia="仿宋" w:hAnsi="仿宋"/>
          <w:color w:val="000000"/>
          <w:sz w:val="30"/>
          <w:szCs w:val="30"/>
        </w:rPr>
        <w:t>2015年7月22日</w:t>
      </w:r>
    </w:p>
    <w:p w14:paraId="60F97F11" w14:textId="77777777" w:rsidR="00405640" w:rsidRDefault="00405640" w:rsidP="00405640">
      <w:pPr>
        <w:widowControl/>
        <w:rPr>
          <w:rFonts w:ascii="方正小标宋简体" w:eastAsia="方正小标宋简体" w:hAnsi="宋体" w:cs="Calibri"/>
          <w:bCs/>
          <w:kern w:val="0"/>
          <w:sz w:val="44"/>
          <w:szCs w:val="44"/>
        </w:rPr>
      </w:pPr>
      <w:r>
        <w:rPr>
          <w:rFonts w:ascii="黑体" w:eastAsia="黑体" w:cs="Calibri" w:hint="eastAsia"/>
          <w:kern w:val="0"/>
          <w:sz w:val="32"/>
          <w:szCs w:val="32"/>
        </w:rPr>
        <w:lastRenderedPageBreak/>
        <w:t>附件</w:t>
      </w:r>
    </w:p>
    <w:p w14:paraId="5E8C9E4B" w14:textId="77777777" w:rsidR="00405640" w:rsidRPr="005B4953" w:rsidRDefault="00405640" w:rsidP="00405640">
      <w:pPr>
        <w:widowControl/>
        <w:jc w:val="center"/>
        <w:rPr>
          <w:rFonts w:ascii="方正小标宋简体" w:eastAsia="方正小标宋简体" w:hAnsi="宋体" w:cs="Calibri" w:hint="eastAsia"/>
          <w:bCs/>
          <w:kern w:val="0"/>
          <w:sz w:val="32"/>
          <w:szCs w:val="32"/>
        </w:rPr>
      </w:pPr>
      <w:r w:rsidRPr="005B4953">
        <w:rPr>
          <w:rFonts w:ascii="方正小标宋简体" w:eastAsia="方正小标宋简体" w:hAnsi="宋体" w:cs="Calibri" w:hint="eastAsia"/>
          <w:bCs/>
          <w:kern w:val="0"/>
          <w:sz w:val="32"/>
          <w:szCs w:val="32"/>
        </w:rPr>
        <w:t>工伤保险行业风险分类表</w:t>
      </w:r>
    </w:p>
    <w:p w14:paraId="53A18B65" w14:textId="77777777" w:rsidR="00405640" w:rsidRDefault="00405640" w:rsidP="00405640">
      <w:pPr>
        <w:widowControl/>
        <w:jc w:val="center"/>
        <w:rPr>
          <w:rFonts w:ascii="方正小标宋简体" w:eastAsia="方正小标宋简体" w:hAnsi="Calibri" w:cs="Calibri" w:hint="eastAsia"/>
          <w:bCs/>
          <w:kern w:val="0"/>
          <w:sz w:val="44"/>
          <w:szCs w:val="44"/>
        </w:rPr>
      </w:pPr>
    </w:p>
    <w:tbl>
      <w:tblPr>
        <w:tblW w:w="0" w:type="auto"/>
        <w:tblLayout w:type="fixed"/>
        <w:tblLook w:val="04A0" w:firstRow="1" w:lastRow="0" w:firstColumn="1" w:lastColumn="0" w:noHBand="0" w:noVBand="1"/>
      </w:tblPr>
      <w:tblGrid>
        <w:gridCol w:w="1677"/>
        <w:gridCol w:w="6890"/>
      </w:tblGrid>
      <w:tr w:rsidR="00405640" w14:paraId="391FB3C2" w14:textId="77777777" w:rsidTr="00405640">
        <w:trPr>
          <w:trHeight w:val="944"/>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776D8DF6"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行业类别</w:t>
            </w:r>
          </w:p>
        </w:tc>
        <w:tc>
          <w:tcPr>
            <w:tcW w:w="6890" w:type="dxa"/>
            <w:tcBorders>
              <w:top w:val="single" w:sz="4" w:space="0" w:color="000000"/>
              <w:left w:val="nil"/>
              <w:bottom w:val="single" w:sz="4" w:space="0" w:color="000000"/>
              <w:right w:val="single" w:sz="4" w:space="0" w:color="000000"/>
            </w:tcBorders>
            <w:vAlign w:val="center"/>
            <w:hideMark/>
          </w:tcPr>
          <w:p w14:paraId="40EC0244"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行业名称</w:t>
            </w:r>
          </w:p>
        </w:tc>
      </w:tr>
      <w:tr w:rsidR="00405640" w14:paraId="65237CE5" w14:textId="77777777" w:rsidTr="00405640">
        <w:trPr>
          <w:trHeight w:val="143"/>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103FF724" w14:textId="77777777" w:rsidR="00405640" w:rsidRDefault="00405640">
            <w:pPr>
              <w:widowControl/>
              <w:spacing w:line="360" w:lineRule="auto"/>
              <w:jc w:val="center"/>
              <w:rPr>
                <w:rFonts w:ascii="宋体" w:hAnsi="宋体" w:cs="宋体" w:hint="eastAsia"/>
                <w:kern w:val="0"/>
                <w:sz w:val="24"/>
                <w:szCs w:val="24"/>
              </w:rPr>
            </w:pPr>
            <w:proofErr w:type="gramStart"/>
            <w:r>
              <w:rPr>
                <w:rFonts w:ascii="宋体" w:hAnsi="宋体" w:cs="宋体" w:hint="eastAsia"/>
                <w:kern w:val="0"/>
                <w:sz w:val="24"/>
                <w:szCs w:val="24"/>
              </w:rPr>
              <w:t>一</w:t>
            </w:r>
            <w:proofErr w:type="gramEnd"/>
          </w:p>
        </w:tc>
        <w:tc>
          <w:tcPr>
            <w:tcW w:w="6890" w:type="dxa"/>
            <w:tcBorders>
              <w:top w:val="single" w:sz="4" w:space="0" w:color="000000"/>
              <w:left w:val="nil"/>
              <w:bottom w:val="single" w:sz="4" w:space="0" w:color="000000"/>
              <w:right w:val="single" w:sz="4" w:space="0" w:color="000000"/>
            </w:tcBorders>
            <w:hideMark/>
          </w:tcPr>
          <w:p w14:paraId="00F8D582"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r>
      <w:tr w:rsidR="00405640" w14:paraId="3F64D36F" w14:textId="77777777" w:rsidTr="00405640">
        <w:trPr>
          <w:trHeight w:val="143"/>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1D7B3E87"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二</w:t>
            </w:r>
          </w:p>
        </w:tc>
        <w:tc>
          <w:tcPr>
            <w:tcW w:w="6890" w:type="dxa"/>
            <w:tcBorders>
              <w:top w:val="single" w:sz="4" w:space="0" w:color="000000"/>
              <w:left w:val="nil"/>
              <w:bottom w:val="single" w:sz="4" w:space="0" w:color="000000"/>
              <w:right w:val="single" w:sz="4" w:space="0" w:color="000000"/>
            </w:tcBorders>
            <w:hideMark/>
          </w:tcPr>
          <w:p w14:paraId="1C1A7E1D"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r>
      <w:tr w:rsidR="00405640" w14:paraId="525AA183" w14:textId="77777777" w:rsidTr="00405640">
        <w:trPr>
          <w:trHeight w:val="143"/>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1A102C4F"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三</w:t>
            </w:r>
          </w:p>
        </w:tc>
        <w:tc>
          <w:tcPr>
            <w:tcW w:w="6890" w:type="dxa"/>
            <w:tcBorders>
              <w:top w:val="single" w:sz="4" w:space="0" w:color="000000"/>
              <w:left w:val="nil"/>
              <w:bottom w:val="single" w:sz="4" w:space="0" w:color="000000"/>
              <w:right w:val="single" w:sz="4" w:space="0" w:color="000000"/>
            </w:tcBorders>
            <w:hideMark/>
          </w:tcPr>
          <w:p w14:paraId="79808426"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农副食品加工业，食品制造业，酒、饮料和精制茶制造业，烟草制品业 ，纺织业，木材加工和</w:t>
            </w:r>
            <w:proofErr w:type="gramStart"/>
            <w:r>
              <w:rPr>
                <w:rFonts w:ascii="宋体" w:hAnsi="宋体" w:cs="宋体" w:hint="eastAsia"/>
                <w:kern w:val="0"/>
                <w:sz w:val="24"/>
                <w:szCs w:val="24"/>
              </w:rPr>
              <w:t>木、</w:t>
            </w:r>
            <w:proofErr w:type="gramEnd"/>
            <w:r>
              <w:rPr>
                <w:rFonts w:ascii="宋体" w:hAnsi="宋体" w:cs="宋体" w:hint="eastAsia"/>
                <w:kern w:val="0"/>
                <w:sz w:val="24"/>
                <w:szCs w:val="24"/>
              </w:rPr>
              <w:t>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r>
      <w:tr w:rsidR="00405640" w14:paraId="57ADA783" w14:textId="77777777" w:rsidTr="00405640">
        <w:trPr>
          <w:trHeight w:val="3720"/>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79F2F43B"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lastRenderedPageBreak/>
              <w:t>四</w:t>
            </w:r>
          </w:p>
        </w:tc>
        <w:tc>
          <w:tcPr>
            <w:tcW w:w="6890" w:type="dxa"/>
            <w:tcBorders>
              <w:top w:val="single" w:sz="4" w:space="0" w:color="000000"/>
              <w:left w:val="nil"/>
              <w:bottom w:val="single" w:sz="4" w:space="0" w:color="000000"/>
              <w:right w:val="single" w:sz="4" w:space="0" w:color="000000"/>
            </w:tcBorders>
            <w:hideMark/>
          </w:tcPr>
          <w:p w14:paraId="78906CDF"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气生产和供应业，铁路运输业，航空运输业，管道运输业，体育</w:t>
            </w:r>
          </w:p>
        </w:tc>
      </w:tr>
      <w:tr w:rsidR="00405640" w14:paraId="19012261" w14:textId="77777777" w:rsidTr="00405640">
        <w:trPr>
          <w:trHeight w:val="1335"/>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3C003A36"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五</w:t>
            </w:r>
          </w:p>
        </w:tc>
        <w:tc>
          <w:tcPr>
            <w:tcW w:w="6890" w:type="dxa"/>
            <w:tcBorders>
              <w:top w:val="single" w:sz="4" w:space="0" w:color="000000"/>
              <w:left w:val="nil"/>
              <w:bottom w:val="single" w:sz="4" w:space="0" w:color="000000"/>
              <w:right w:val="single" w:sz="4" w:space="0" w:color="000000"/>
            </w:tcBorders>
            <w:hideMark/>
          </w:tcPr>
          <w:p w14:paraId="6FC5F97D"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林业，开采辅助活动，家具制造业，造纸和纸制品业，建筑安装业，建筑装饰和其他建筑业，道路运输业，水上运输业，装卸搬运和运输代理业</w:t>
            </w:r>
          </w:p>
        </w:tc>
      </w:tr>
      <w:tr w:rsidR="00405640" w14:paraId="2A37BA09" w14:textId="77777777" w:rsidTr="00405640">
        <w:trPr>
          <w:trHeight w:val="1355"/>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5B90A15A"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六</w:t>
            </w:r>
          </w:p>
        </w:tc>
        <w:tc>
          <w:tcPr>
            <w:tcW w:w="6890" w:type="dxa"/>
            <w:tcBorders>
              <w:top w:val="single" w:sz="4" w:space="0" w:color="000000"/>
              <w:left w:val="nil"/>
              <w:bottom w:val="single" w:sz="4" w:space="0" w:color="000000"/>
              <w:right w:val="single" w:sz="4" w:space="0" w:color="000000"/>
            </w:tcBorders>
            <w:hideMark/>
          </w:tcPr>
          <w:p w14:paraId="568AE9C9"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渔业，化学原料和化学制品制造业，非金属矿物制品业，黑色金属冶炼和压延加工业，有色金属冶炼和压延加工业，房屋建筑业，土木工程建筑业</w:t>
            </w:r>
          </w:p>
        </w:tc>
      </w:tr>
      <w:tr w:rsidR="00405640" w14:paraId="6100FD23" w14:textId="77777777" w:rsidTr="00405640">
        <w:trPr>
          <w:trHeight w:val="910"/>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36E8A1F8"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七</w:t>
            </w:r>
          </w:p>
        </w:tc>
        <w:tc>
          <w:tcPr>
            <w:tcW w:w="6890" w:type="dxa"/>
            <w:tcBorders>
              <w:top w:val="single" w:sz="4" w:space="0" w:color="000000"/>
              <w:left w:val="nil"/>
              <w:bottom w:val="single" w:sz="4" w:space="0" w:color="000000"/>
              <w:right w:val="single" w:sz="4" w:space="0" w:color="000000"/>
            </w:tcBorders>
            <w:hideMark/>
          </w:tcPr>
          <w:p w14:paraId="159A7180"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石油和天然气开采业，其他采矿业，石油加工、炼焦和核燃料加工业</w:t>
            </w:r>
          </w:p>
        </w:tc>
      </w:tr>
      <w:tr w:rsidR="00405640" w14:paraId="154A6CF5" w14:textId="77777777" w:rsidTr="00405640">
        <w:trPr>
          <w:trHeight w:val="935"/>
        </w:trPr>
        <w:tc>
          <w:tcPr>
            <w:tcW w:w="1677" w:type="dxa"/>
            <w:tcBorders>
              <w:top w:val="single" w:sz="4" w:space="0" w:color="000000"/>
              <w:left w:val="single" w:sz="4" w:space="0" w:color="000000"/>
              <w:bottom w:val="single" w:sz="4" w:space="0" w:color="000000"/>
              <w:right w:val="single" w:sz="4" w:space="0" w:color="000000"/>
            </w:tcBorders>
            <w:vAlign w:val="center"/>
            <w:hideMark/>
          </w:tcPr>
          <w:p w14:paraId="7DFC060C" w14:textId="77777777" w:rsidR="00405640" w:rsidRDefault="00405640">
            <w:pPr>
              <w:widowControl/>
              <w:spacing w:line="360" w:lineRule="auto"/>
              <w:jc w:val="center"/>
              <w:rPr>
                <w:rFonts w:ascii="宋体" w:hAnsi="宋体" w:cs="宋体" w:hint="eastAsia"/>
                <w:kern w:val="0"/>
                <w:sz w:val="24"/>
                <w:szCs w:val="24"/>
              </w:rPr>
            </w:pPr>
            <w:r>
              <w:rPr>
                <w:rFonts w:ascii="宋体" w:hAnsi="宋体" w:cs="宋体" w:hint="eastAsia"/>
                <w:kern w:val="0"/>
                <w:sz w:val="24"/>
                <w:szCs w:val="24"/>
              </w:rPr>
              <w:t>八</w:t>
            </w:r>
          </w:p>
        </w:tc>
        <w:tc>
          <w:tcPr>
            <w:tcW w:w="6890" w:type="dxa"/>
            <w:tcBorders>
              <w:top w:val="single" w:sz="4" w:space="0" w:color="000000"/>
              <w:left w:val="nil"/>
              <w:bottom w:val="single" w:sz="4" w:space="0" w:color="000000"/>
              <w:right w:val="single" w:sz="4" w:space="0" w:color="000000"/>
            </w:tcBorders>
            <w:hideMark/>
          </w:tcPr>
          <w:p w14:paraId="4880EE7F" w14:textId="77777777" w:rsidR="00405640" w:rsidRDefault="00405640">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煤炭开采和洗选业，黑色金属矿采选业，有色金属矿采选业，非金属矿采选业</w:t>
            </w:r>
          </w:p>
        </w:tc>
      </w:tr>
    </w:tbl>
    <w:p w14:paraId="6624188E" w14:textId="77777777" w:rsidR="00405640" w:rsidRPr="00405640" w:rsidRDefault="00405640" w:rsidP="00405640">
      <w:pPr>
        <w:spacing w:line="600" w:lineRule="exact"/>
        <w:rPr>
          <w:rFonts w:ascii="仿宋_GB2312" w:eastAsia="仿宋_GB2312" w:hAnsi="仿宋_GB2312" w:hint="eastAsia"/>
          <w:sz w:val="32"/>
        </w:rPr>
      </w:pPr>
    </w:p>
    <w:sectPr w:rsidR="00405640" w:rsidRPr="004056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40"/>
    <w:rsid w:val="00405640"/>
    <w:rsid w:val="005B4953"/>
    <w:rsid w:val="00647277"/>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811C"/>
  <w15:chartTrackingRefBased/>
  <w15:docId w15:val="{15DDE205-CF7E-476C-8C76-E401890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640"/>
    <w:rPr>
      <w:color w:val="0563C1" w:themeColor="hyperlink"/>
      <w:u w:val="single"/>
    </w:rPr>
  </w:style>
  <w:style w:type="paragraph" w:styleId="a4">
    <w:name w:val="List Paragraph"/>
    <w:basedOn w:val="a"/>
    <w:uiPriority w:val="34"/>
    <w:qFormat/>
    <w:rsid w:val="00405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2974">
      <w:bodyDiv w:val="1"/>
      <w:marLeft w:val="0"/>
      <w:marRight w:val="0"/>
      <w:marTop w:val="0"/>
      <w:marBottom w:val="0"/>
      <w:divBdr>
        <w:top w:val="none" w:sz="0" w:space="0" w:color="auto"/>
        <w:left w:val="none" w:sz="0" w:space="0" w:color="auto"/>
        <w:bottom w:val="none" w:sz="0" w:space="0" w:color="auto"/>
        <w:right w:val="none" w:sz="0" w:space="0" w:color="auto"/>
      </w:divBdr>
    </w:div>
    <w:div w:id="11374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2023-10-10T07:11:00Z</dcterms:created>
  <dcterms:modified xsi:type="dcterms:W3CDTF">2023-10-10T07:23:00Z</dcterms:modified>
</cp:coreProperties>
</file>